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DC70BFD"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883DF8">
        <w:rPr>
          <w:rFonts w:ascii="Times New Roman" w:hAnsi="Times New Roman"/>
          <w:noProof w:val="0"/>
          <w:sz w:val="24"/>
          <w:szCs w:val="24"/>
          <w:lang w:val="en-US"/>
        </w:rPr>
        <w:t>4</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A80712">
        <w:rPr>
          <w:rFonts w:ascii="Times New Roman" w:hAnsi="Times New Roman"/>
          <w:noProof w:val="0"/>
          <w:sz w:val="24"/>
          <w:szCs w:val="24"/>
          <w:lang w:val="en-US"/>
        </w:rPr>
        <w:t>R1-</w:t>
      </w:r>
      <w:r w:rsidR="00A80712" w:rsidRPr="00A80712">
        <w:rPr>
          <w:rFonts w:ascii="Times New Roman" w:hAnsi="Times New Roman"/>
          <w:noProof w:val="0"/>
          <w:sz w:val="24"/>
          <w:szCs w:val="24"/>
          <w:lang w:val="en-US"/>
        </w:rPr>
        <w:t>2307697</w:t>
      </w:r>
    </w:p>
    <w:p w14:paraId="68FF7C2F" w14:textId="1C1C9D41" w:rsidR="00883DF8" w:rsidRPr="006F0ABD" w:rsidRDefault="00883DF8" w:rsidP="00883DF8">
      <w:pPr>
        <w:tabs>
          <w:tab w:val="left" w:pos="1985"/>
        </w:tabs>
        <w:spacing w:after="60" w:line="288" w:lineRule="auto"/>
        <w:rPr>
          <w:b/>
          <w:sz w:val="24"/>
          <w:szCs w:val="24"/>
        </w:rPr>
      </w:pPr>
      <w:r w:rsidRPr="006F0ABD">
        <w:rPr>
          <w:b/>
          <w:sz w:val="24"/>
          <w:szCs w:val="24"/>
        </w:rPr>
        <w:t>Toulouse, France, August 21</w:t>
      </w:r>
      <w:r w:rsidRPr="00EB4BBC">
        <w:rPr>
          <w:b/>
          <w:sz w:val="24"/>
          <w:szCs w:val="24"/>
          <w:vertAlign w:val="superscript"/>
        </w:rPr>
        <w:t>st</w:t>
      </w:r>
      <w:r w:rsidRPr="006F0ABD">
        <w:rPr>
          <w:b/>
          <w:sz w:val="24"/>
          <w:szCs w:val="24"/>
        </w:rPr>
        <w:t xml:space="preserve"> – August 25</w:t>
      </w:r>
      <w:r w:rsidRPr="00EB4BBC">
        <w:rPr>
          <w:b/>
          <w:sz w:val="24"/>
          <w:szCs w:val="24"/>
          <w:vertAlign w:val="superscript"/>
        </w:rPr>
        <w:t>th</w:t>
      </w:r>
      <w:r w:rsidRPr="006F0ABD">
        <w:rPr>
          <w:b/>
          <w:sz w:val="24"/>
          <w:szCs w:val="24"/>
        </w:rPr>
        <w:t>, 2023</w:t>
      </w:r>
    </w:p>
    <w:p w14:paraId="2BE17D8A" w14:textId="77777777" w:rsidR="00CB12B0" w:rsidRPr="00EE7300" w:rsidRDefault="00CB12B0" w:rsidP="00945BED">
      <w:pPr>
        <w:tabs>
          <w:tab w:val="left" w:pos="1985"/>
        </w:tabs>
        <w:spacing w:after="60" w:line="288" w:lineRule="auto"/>
        <w:rPr>
          <w:sz w:val="24"/>
          <w:szCs w:val="24"/>
        </w:rPr>
      </w:pPr>
    </w:p>
    <w:p w14:paraId="75FAB520" w14:textId="23DF901B"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1E2E75">
        <w:rPr>
          <w:sz w:val="24"/>
        </w:rPr>
        <w:t>10</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8C2802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 xml:space="preserve">On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5069F04" w14:textId="3CAB4723" w:rsidR="00CA53D9"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is </w:t>
      </w:r>
      <w:r w:rsidR="00587449">
        <w:rPr>
          <w:lang w:eastAsia="ko-KR"/>
        </w:rPr>
        <w:t xml:space="preserve">being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78738E">
        <w:rPr>
          <w:lang w:eastAsia="ko-KR"/>
        </w:rPr>
        <w:t>[1]</w:t>
      </w:r>
      <w:r w:rsidR="00CA53D9">
        <w:rPr>
          <w:lang w:eastAsia="ko-KR"/>
        </w:rPr>
        <w:fldChar w:fldCharType="end"/>
      </w:r>
      <w:r w:rsidR="00CA53D9">
        <w:rPr>
          <w:lang w:eastAsia="ko-KR"/>
        </w:rPr>
        <w:t>, with the following objective</w:t>
      </w:r>
      <w:r w:rsidR="001C5ABD">
        <w:rPr>
          <w:lang w:eastAsia="ko-KR"/>
        </w:rPr>
        <w:t>:</w:t>
      </w:r>
    </w:p>
    <w:p w14:paraId="46675A9E" w14:textId="538EEA5E" w:rsidR="00CA53D9" w:rsidRDefault="00CA53D9" w:rsidP="00074873">
      <w:pPr>
        <w:rPr>
          <w:lang w:eastAsia="ko-KR"/>
        </w:rPr>
      </w:pPr>
      <w:r>
        <w:rPr>
          <w:noProof/>
        </w:rPr>
        <mc:AlternateContent>
          <mc:Choice Requires="wps">
            <w:drawing>
              <wp:anchor distT="0" distB="0" distL="114300" distR="114300" simplePos="0" relativeHeight="251659264" behindDoc="0" locked="0" layoutInCell="1" allowOverlap="1" wp14:anchorId="2CC1FEE0" wp14:editId="4D8C6B16">
                <wp:simplePos x="0" y="0"/>
                <wp:positionH relativeFrom="column">
                  <wp:posOffset>0</wp:posOffset>
                </wp:positionH>
                <wp:positionV relativeFrom="paragraph">
                  <wp:posOffset>0</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Dynamic switch mechanism among candidate serving cells (including SpCell and SCell) for the potential applicable scenarios based on L1</w:t>
                            </w:r>
                            <w:r w:rsidRPr="00CA53D9">
                              <w:rPr>
                                <w:rFonts w:hint="eastAsia"/>
                                <w:bCs/>
                                <w:highlight w:val="yellow"/>
                              </w:rPr>
                              <w:t>/</w:t>
                            </w:r>
                            <w:r w:rsidRPr="00CA53D9">
                              <w:rPr>
                                <w:bCs/>
                                <w:highlight w:val="yellow"/>
                              </w:rPr>
                              <w:t>L2 signalling</w:t>
                            </w:r>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FEE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Dynamic switch mechanism among candidate serving cells (including SpCell and SCell) for the potential applicable scenarios based on L1</w:t>
                      </w:r>
                      <w:r w:rsidRPr="00CA53D9">
                        <w:rPr>
                          <w:rFonts w:hint="eastAsia"/>
                          <w:bCs/>
                          <w:highlight w:val="yellow"/>
                        </w:rPr>
                        <w:t>/</w:t>
                      </w:r>
                      <w:r w:rsidRPr="00CA53D9">
                        <w:rPr>
                          <w:bCs/>
                          <w:highlight w:val="yellow"/>
                        </w:rPr>
                        <w:t>L2 signalling</w:t>
                      </w:r>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v:textbox>
                <w10:wrap type="square"/>
              </v:shape>
            </w:pict>
          </mc:Fallback>
        </mc:AlternateContent>
      </w:r>
    </w:p>
    <w:p w14:paraId="40499045" w14:textId="69961E97"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521527">
        <w:rPr>
          <w:lang w:eastAsia="ko-KR"/>
        </w:rPr>
        <w:t>L1 enhancements to inter-cell beam management to support L1/L2 mobility</w:t>
      </w:r>
      <w:r>
        <w:rPr>
          <w:lang w:eastAsia="ko-KR"/>
        </w:rPr>
        <w:t xml:space="preserve">. </w:t>
      </w:r>
    </w:p>
    <w:p w14:paraId="7CF95182" w14:textId="466B8559" w:rsidR="00D82E9D" w:rsidRPr="00DF0060" w:rsidRDefault="00074873" w:rsidP="00D82E9D">
      <w:pPr>
        <w:pStyle w:val="Heading1"/>
        <w:rPr>
          <w:rFonts w:ascii="Times New Roman" w:hAnsi="Times New Roman"/>
          <w:lang w:eastAsia="ko-KR"/>
        </w:rPr>
      </w:pPr>
      <w:r>
        <w:rPr>
          <w:rFonts w:ascii="Times New Roman" w:hAnsi="Times New Roman"/>
          <w:lang w:eastAsia="ko-KR"/>
        </w:rPr>
        <w:t>Discussion</w:t>
      </w:r>
    </w:p>
    <w:p w14:paraId="7391562C" w14:textId="4EA204E4" w:rsidR="00071371" w:rsidRDefault="00521527" w:rsidP="004C3C0D">
      <w:pPr>
        <w:pStyle w:val="Heading2"/>
        <w:rPr>
          <w:lang w:eastAsia="ko-KR"/>
        </w:rPr>
      </w:pPr>
      <w:r>
        <w:rPr>
          <w:lang w:eastAsia="ko-KR"/>
        </w:rPr>
        <w:t>Enhancements</w:t>
      </w:r>
      <w:r w:rsidR="00BD75D7">
        <w:rPr>
          <w:lang w:eastAsia="ko-KR"/>
        </w:rPr>
        <w:t xml:space="preserve"> to L1 measurements and r</w:t>
      </w:r>
      <w:r>
        <w:rPr>
          <w:lang w:eastAsia="ko-KR"/>
        </w:rPr>
        <w:t>eporting</w:t>
      </w:r>
    </w:p>
    <w:p w14:paraId="2F3AD789" w14:textId="7B0CA6D1" w:rsidR="00071371" w:rsidRDefault="00071371" w:rsidP="00071371">
      <w:pPr>
        <w:pStyle w:val="Heading2"/>
        <w:numPr>
          <w:ilvl w:val="2"/>
          <w:numId w:val="35"/>
        </w:numPr>
        <w:rPr>
          <w:lang w:eastAsia="ko-KR"/>
        </w:rPr>
      </w:pPr>
      <w:r>
        <w:rPr>
          <w:lang w:eastAsia="ko-KR"/>
        </w:rPr>
        <w:t xml:space="preserve"> Measurement Metric</w:t>
      </w:r>
    </w:p>
    <w:p w14:paraId="421E4193" w14:textId="1CACC192" w:rsidR="00BE63D5" w:rsidRPr="00CE7EEA" w:rsidRDefault="00A77E39" w:rsidP="004C3C0D">
      <w:pPr>
        <w:rPr>
          <w:lang w:val="en-GB" w:eastAsia="ko-KR"/>
        </w:rPr>
      </w:pPr>
      <w:r>
        <w:rPr>
          <w:lang w:val="en-GB" w:eastAsia="ko-KR"/>
        </w:rPr>
        <w:t>In RAN1#110b-e and RAN1#111, the measurement metric was discussed. It was agreed to support L1 RSRP for L1 intra-frequency measurement and L1 inter-frequency measurement, and to further study the support of L1-SINR measurement.</w:t>
      </w:r>
      <w:r w:rsidR="00BE63D5">
        <w:rPr>
          <w:lang w:val="en-GB" w:eastAsia="ko-KR"/>
        </w:rPr>
        <w:t xml:space="preserve"> </w:t>
      </w:r>
      <w:r w:rsidR="00BE63D5" w:rsidRPr="00CE7EEA">
        <w:rPr>
          <w:lang w:val="en-GB" w:eastAsia="ko-KR"/>
        </w:rPr>
        <w:t>RSRP measurement provides a reasonable metric for making a handover decision. A cell can be selected as a target cell for handover if it has a better RSRP than the RSPR of the current serving for example by a certain threshold. RSRP measurements don’t take into account the interference in cell. In some cases, the target cell might have a sufficiently better RSRP than the serving cell, but has significantly higher interference, which would lead to a lower signal quality if handover were to t</w:t>
      </w:r>
      <w:r w:rsidR="00BE63D5">
        <w:rPr>
          <w:lang w:val="en-GB" w:eastAsia="ko-KR"/>
        </w:rPr>
        <w:t>ake place to the target cell. In</w:t>
      </w:r>
      <w:r w:rsidR="00BE63D5" w:rsidRPr="00CE7EEA">
        <w:rPr>
          <w:lang w:val="en-GB" w:eastAsia="ko-KR"/>
        </w:rPr>
        <w:t xml:space="preserve"> those case</w:t>
      </w:r>
      <w:r w:rsidR="00BE63D5">
        <w:rPr>
          <w:lang w:val="en-GB" w:eastAsia="ko-KR"/>
        </w:rPr>
        <w:t>s</w:t>
      </w:r>
      <w:r w:rsidR="00BE63D5" w:rsidRPr="00CE7EEA">
        <w:rPr>
          <w:lang w:val="en-GB" w:eastAsia="ko-KR"/>
        </w:rPr>
        <w:t xml:space="preserve">, it might seem that using an SINR-type measurement is a better metric than the L1-RSRP metric or using an SINR-type measurement in addition to the L1-RSRP. However, the L1-SINR, which is the ratio between L1-signal power and the interference of a slot can be quite a </w:t>
      </w:r>
      <w:r w:rsidR="00BE63D5" w:rsidRPr="00CE7EEA">
        <w:rPr>
          <w:lang w:val="en-GB" w:eastAsia="ko-KR"/>
        </w:rPr>
        <w:lastRenderedPageBreak/>
        <w:t xml:space="preserve">noisy measurement that can vary significantly from </w:t>
      </w:r>
      <w:r w:rsidR="00BE63D5">
        <w:rPr>
          <w:lang w:val="en-GB" w:eastAsia="ko-KR"/>
        </w:rPr>
        <w:t xml:space="preserve">one </w:t>
      </w:r>
      <w:r w:rsidR="00BE63D5" w:rsidRPr="00CE7EEA">
        <w:rPr>
          <w:lang w:val="en-GB" w:eastAsia="ko-KR"/>
        </w:rPr>
        <w:t>measurement instance to another.</w:t>
      </w:r>
      <w:r w:rsidR="004C3C0D">
        <w:rPr>
          <w:lang w:val="en-GB" w:eastAsia="ko-KR"/>
        </w:rPr>
        <w:t xml:space="preserve"> As we are approaching the end of the work item, we suggest that L1-SINR be not supported in Rel-18.</w:t>
      </w:r>
      <w:r w:rsidR="00BE63D5" w:rsidRPr="00CE7EEA">
        <w:rPr>
          <w:lang w:val="en-GB" w:eastAsia="ko-KR"/>
        </w:rPr>
        <w:t xml:space="preserve"> </w:t>
      </w:r>
    </w:p>
    <w:p w14:paraId="1DC67447" w14:textId="5E8078BC" w:rsidR="00BE63D5" w:rsidRDefault="00BE63D5" w:rsidP="00BE63D5">
      <w:pPr>
        <w:rPr>
          <w:b/>
          <w:i/>
          <w:lang w:val="en-GB" w:eastAsia="ko-KR"/>
        </w:rPr>
      </w:pPr>
      <w:r>
        <w:rPr>
          <w:b/>
          <w:i/>
          <w:lang w:val="en-GB" w:eastAsia="ko-KR"/>
        </w:rPr>
        <w:t xml:space="preserve">Proposal </w:t>
      </w:r>
      <w:r w:rsidR="004C3C0D">
        <w:rPr>
          <w:b/>
          <w:i/>
          <w:lang w:val="en-GB" w:eastAsia="ko-KR"/>
        </w:rPr>
        <w:t>1</w:t>
      </w:r>
      <w:r w:rsidRPr="00CE7EEA">
        <w:rPr>
          <w:b/>
          <w:i/>
          <w:lang w:val="en-GB" w:eastAsia="ko-KR"/>
        </w:rPr>
        <w:t xml:space="preserve">: </w:t>
      </w:r>
      <w:r w:rsidR="004C3C0D">
        <w:rPr>
          <w:b/>
          <w:i/>
          <w:lang w:val="en-GB" w:eastAsia="ko-KR"/>
        </w:rPr>
        <w:t>Don’t support</w:t>
      </w:r>
      <w:r w:rsidRPr="00CE7EEA">
        <w:rPr>
          <w:b/>
          <w:i/>
          <w:lang w:val="en-GB" w:eastAsia="ko-KR"/>
        </w:rPr>
        <w:t xml:space="preserve"> L1-SINR measurement metric for L1/L2 mobility</w:t>
      </w:r>
      <w:r w:rsidR="004C3C0D">
        <w:rPr>
          <w:b/>
          <w:i/>
          <w:lang w:val="en-GB" w:eastAsia="ko-KR"/>
        </w:rPr>
        <w:t xml:space="preserve"> in Rel-18</w:t>
      </w:r>
      <w:r w:rsidRPr="00CE7EEA">
        <w:rPr>
          <w:b/>
          <w:i/>
          <w:lang w:val="en-GB" w:eastAsia="ko-KR"/>
        </w:rPr>
        <w:t>.</w:t>
      </w:r>
    </w:p>
    <w:p w14:paraId="45EEFCD3" w14:textId="11584A31" w:rsidR="00071371" w:rsidRDefault="00672CC9" w:rsidP="00BE63D5">
      <w:pPr>
        <w:rPr>
          <w:lang w:val="en-GB" w:eastAsia="ko-KR"/>
        </w:rPr>
      </w:pPr>
      <w:r>
        <w:rPr>
          <w:lang w:val="en-GB" w:eastAsia="ko-KR"/>
        </w:rPr>
        <w:t>Another aspect related to measurement metric reporting is filtering the L1 measurements to avoid the ping-pong issues. Filtering of L1 measurements at the UE before reporting can introduce additional latency, hence reducing the benefit of L1/L2 mobility. Furthermore, it can be left up to network implementation whether or not to filter the L1 measurements provided by the UE before using to make a handover decision.</w:t>
      </w:r>
    </w:p>
    <w:p w14:paraId="46196B41" w14:textId="082AA884" w:rsidR="00672CC9" w:rsidRPr="00672CC9" w:rsidRDefault="00672CC9" w:rsidP="00BE63D5">
      <w:pPr>
        <w:rPr>
          <w:b/>
          <w:i/>
          <w:lang w:val="en-GB" w:eastAsia="ko-KR"/>
        </w:rPr>
      </w:pPr>
      <w:r w:rsidRPr="00672CC9">
        <w:rPr>
          <w:b/>
          <w:i/>
          <w:lang w:val="en-GB" w:eastAsia="ko-KR"/>
        </w:rPr>
        <w:t xml:space="preserve">Observation </w:t>
      </w:r>
      <w:r w:rsidR="004C3C0D">
        <w:rPr>
          <w:b/>
          <w:i/>
          <w:lang w:val="en-GB" w:eastAsia="ko-KR"/>
        </w:rPr>
        <w:t>1</w:t>
      </w:r>
      <w:r w:rsidRPr="00672CC9">
        <w:rPr>
          <w:b/>
          <w:i/>
          <w:lang w:val="en-GB" w:eastAsia="ko-KR"/>
        </w:rPr>
        <w:t>: Filtering of L1 measurement results can be left to network implementation if needed.</w:t>
      </w:r>
    </w:p>
    <w:p w14:paraId="71AE9D1F" w14:textId="7F91E4EB" w:rsidR="00EB2E65" w:rsidRDefault="00EB2E65" w:rsidP="00BE6550">
      <w:pPr>
        <w:rPr>
          <w:lang w:val="en-GB" w:eastAsia="ko-KR"/>
        </w:rPr>
      </w:pPr>
    </w:p>
    <w:p w14:paraId="1BC6ACC6" w14:textId="787084E3" w:rsidR="00071371" w:rsidRDefault="00071371" w:rsidP="00071371">
      <w:pPr>
        <w:pStyle w:val="Heading2"/>
        <w:numPr>
          <w:ilvl w:val="2"/>
          <w:numId w:val="35"/>
        </w:numPr>
        <w:rPr>
          <w:lang w:eastAsia="ko-KR"/>
        </w:rPr>
      </w:pPr>
      <w:r>
        <w:rPr>
          <w:lang w:eastAsia="ko-KR"/>
        </w:rPr>
        <w:t xml:space="preserve"> </w:t>
      </w:r>
      <w:r w:rsidR="006B45C1">
        <w:rPr>
          <w:lang w:eastAsia="ko-KR"/>
        </w:rPr>
        <w:t xml:space="preserve">L1 </w:t>
      </w:r>
      <w:r>
        <w:rPr>
          <w:lang w:eastAsia="ko-KR"/>
        </w:rPr>
        <w:t xml:space="preserve">Measurement </w:t>
      </w:r>
      <w:r w:rsidR="006B45C1">
        <w:rPr>
          <w:lang w:eastAsia="ko-KR"/>
        </w:rPr>
        <w:t>Reporting</w:t>
      </w:r>
    </w:p>
    <w:p w14:paraId="4ABED407" w14:textId="4B6BED17" w:rsidR="00953FD3" w:rsidRDefault="00315E95" w:rsidP="006B45C1">
      <w:pPr>
        <w:rPr>
          <w:lang w:val="en-GB" w:eastAsia="ko-KR"/>
        </w:rPr>
      </w:pPr>
      <w:r>
        <w:rPr>
          <w:lang w:val="en-GB" w:eastAsia="ko-KR"/>
        </w:rPr>
        <w:t>In RAN1#</w:t>
      </w:r>
      <w:r w:rsidR="00316229">
        <w:rPr>
          <w:lang w:val="en-GB" w:eastAsia="ko-KR"/>
        </w:rPr>
        <w:t>113</w:t>
      </w:r>
      <w:r>
        <w:rPr>
          <w:lang w:val="en-GB" w:eastAsia="ko-KR"/>
        </w:rPr>
        <w:t xml:space="preserve">, the following </w:t>
      </w:r>
      <w:r w:rsidR="00316229">
        <w:rPr>
          <w:lang w:val="en-GB" w:eastAsia="ko-KR"/>
        </w:rPr>
        <w:t>working assumption</w:t>
      </w:r>
      <w:r>
        <w:rPr>
          <w:lang w:val="en-GB" w:eastAsia="ko-KR"/>
        </w:rPr>
        <w:t xml:space="preserve"> was made:</w:t>
      </w:r>
    </w:p>
    <w:p w14:paraId="68361BDF" w14:textId="1D62D2C0" w:rsidR="00315E95" w:rsidRDefault="00316229" w:rsidP="006B45C1">
      <w:pPr>
        <w:rPr>
          <w:rFonts w:eastAsia="DengXian"/>
          <w:lang w:eastAsia="zh-CN"/>
        </w:rPr>
      </w:pPr>
      <w:r>
        <w:rPr>
          <w:noProof/>
        </w:rPr>
        <mc:AlternateContent>
          <mc:Choice Requires="wps">
            <w:drawing>
              <wp:anchor distT="0" distB="0" distL="114300" distR="114300" simplePos="0" relativeHeight="251708416" behindDoc="0" locked="0" layoutInCell="1" allowOverlap="1" wp14:anchorId="733BC71F" wp14:editId="4877ECED">
                <wp:simplePos x="0" y="0"/>
                <wp:positionH relativeFrom="column">
                  <wp:posOffset>0</wp:posOffset>
                </wp:positionH>
                <wp:positionV relativeFrom="paragraph">
                  <wp:posOffset>0</wp:posOffset>
                </wp:positionV>
                <wp:extent cx="1828800" cy="1828800"/>
                <wp:effectExtent l="0" t="0" r="27940" b="1905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85000"/>
                          </a:schemeClr>
                        </a:solidFill>
                        <a:ln w="6350">
                          <a:solidFill>
                            <a:prstClr val="black"/>
                          </a:solidFill>
                        </a:ln>
                      </wps:spPr>
                      <wps:txbx>
                        <w:txbxContent>
                          <w:p w14:paraId="7F7582D4" w14:textId="77777777" w:rsidR="00316229" w:rsidRDefault="00316229" w:rsidP="00316229">
                            <w:pPr>
                              <w:rPr>
                                <w:rFonts w:eastAsia="DengXian"/>
                                <w:highlight w:val="darkYellow"/>
                                <w:lang w:eastAsia="zh-CN"/>
                              </w:rPr>
                            </w:pPr>
                            <w:r>
                              <w:rPr>
                                <w:rFonts w:eastAsia="DengXian"/>
                                <w:highlight w:val="darkYellow"/>
                                <w:lang w:eastAsia="zh-CN"/>
                              </w:rPr>
                              <w:t>Working Assumption</w:t>
                            </w:r>
                          </w:p>
                          <w:p w14:paraId="5A28FB3F" w14:textId="77777777" w:rsidR="00316229" w:rsidRPr="00C841D1" w:rsidRDefault="00316229" w:rsidP="00316229">
                            <w:pPr>
                              <w:pStyle w:val="ListParagraph"/>
                              <w:numPr>
                                <w:ilvl w:val="0"/>
                                <w:numId w:val="45"/>
                              </w:numPr>
                              <w:tabs>
                                <w:tab w:val="clear" w:pos="360"/>
                                <w:tab w:val="left" w:pos="-360"/>
                                <w:tab w:val="left" w:pos="720"/>
                              </w:tabs>
                              <w:snapToGrid w:val="0"/>
                              <w:spacing w:after="100" w:afterAutospacing="1"/>
                              <w:ind w:left="720"/>
                              <w:contextualSpacing w:val="0"/>
                              <w:jc w:val="both"/>
                              <w:rPr>
                                <w:rFonts w:ascii="Calibri" w:eastAsia="SimSun" w:hAnsi="Calibri"/>
                              </w:rPr>
                            </w:pPr>
                            <w:r w:rsidRPr="00742ED3">
                              <w:t>For the beam selection for SSB based L1-RSRP measurement report,</w:t>
                            </w:r>
                          </w:p>
                          <w:p w14:paraId="713B8004" w14:textId="77777777" w:rsidR="00316229" w:rsidRPr="00742ED3" w:rsidRDefault="00316229" w:rsidP="00316229">
                            <w:pPr>
                              <w:pStyle w:val="ListParagraph"/>
                              <w:numPr>
                                <w:ilvl w:val="1"/>
                                <w:numId w:val="45"/>
                              </w:numPr>
                              <w:tabs>
                                <w:tab w:val="clear" w:pos="1080"/>
                                <w:tab w:val="left" w:pos="360"/>
                                <w:tab w:val="left" w:pos="720"/>
                                <w:tab w:val="left" w:pos="1440"/>
                              </w:tabs>
                              <w:snapToGrid w:val="0"/>
                              <w:spacing w:after="100" w:afterAutospacing="1"/>
                              <w:ind w:left="1440"/>
                              <w:contextualSpacing w:val="0"/>
                              <w:jc w:val="both"/>
                            </w:pPr>
                            <w:r w:rsidRPr="00742ED3">
                              <w:t xml:space="preserve">For the value of M, L </w:t>
                            </w:r>
                          </w:p>
                          <w:p w14:paraId="12AB1B62" w14:textId="77777777" w:rsidR="00316229" w:rsidRPr="00742ED3" w:rsidRDefault="00316229" w:rsidP="00316229">
                            <w:pPr>
                              <w:pStyle w:val="ListParagraph"/>
                              <w:numPr>
                                <w:ilvl w:val="2"/>
                                <w:numId w:val="45"/>
                              </w:numPr>
                              <w:tabs>
                                <w:tab w:val="clear" w:pos="1800"/>
                                <w:tab w:val="left" w:pos="720"/>
                                <w:tab w:val="left" w:pos="1080"/>
                                <w:tab w:val="left" w:pos="2160"/>
                              </w:tabs>
                              <w:snapToGrid w:val="0"/>
                              <w:spacing w:after="100" w:afterAutospacing="1"/>
                              <w:ind w:left="2160"/>
                              <w:contextualSpacing w:val="0"/>
                              <w:jc w:val="both"/>
                            </w:pPr>
                            <w:r w:rsidRPr="00742ED3">
                              <w:t xml:space="preserve">the RRC configured candidate values are: </w:t>
                            </w:r>
                          </w:p>
                          <w:p w14:paraId="494630E1" w14:textId="77777777" w:rsidR="00316229" w:rsidRPr="00742ED3" w:rsidRDefault="00316229" w:rsidP="00316229">
                            <w:pPr>
                              <w:pStyle w:val="ListParagraph"/>
                              <w:numPr>
                                <w:ilvl w:val="3"/>
                                <w:numId w:val="45"/>
                              </w:numPr>
                              <w:tabs>
                                <w:tab w:val="clear" w:pos="2520"/>
                                <w:tab w:val="left" w:pos="720"/>
                                <w:tab w:val="left" w:pos="1800"/>
                                <w:tab w:val="left" w:pos="2880"/>
                              </w:tabs>
                              <w:snapToGrid w:val="0"/>
                              <w:spacing w:after="100" w:afterAutospacing="1"/>
                              <w:ind w:left="2880"/>
                              <w:contextualSpacing w:val="0"/>
                              <w:jc w:val="both"/>
                            </w:pPr>
                            <w:r w:rsidRPr="00742ED3">
                              <w:t>M = 1, 2, 3, 4</w:t>
                            </w:r>
                          </w:p>
                          <w:p w14:paraId="24CDFD02" w14:textId="77777777" w:rsidR="00316229" w:rsidRPr="00742ED3" w:rsidRDefault="00316229" w:rsidP="00316229">
                            <w:pPr>
                              <w:pStyle w:val="ListParagraph"/>
                              <w:numPr>
                                <w:ilvl w:val="3"/>
                                <w:numId w:val="45"/>
                              </w:numPr>
                              <w:tabs>
                                <w:tab w:val="clear" w:pos="2520"/>
                                <w:tab w:val="left" w:pos="720"/>
                                <w:tab w:val="left" w:pos="1800"/>
                                <w:tab w:val="left" w:pos="2160"/>
                                <w:tab w:val="left" w:pos="2880"/>
                              </w:tabs>
                              <w:snapToGrid w:val="0"/>
                              <w:spacing w:after="100" w:afterAutospacing="1"/>
                              <w:ind w:left="2880"/>
                              <w:contextualSpacing w:val="0"/>
                              <w:jc w:val="both"/>
                            </w:pPr>
                            <w:r w:rsidRPr="00742ED3">
                              <w:t xml:space="preserve">L = </w:t>
                            </w:r>
                            <w:r>
                              <w:t xml:space="preserve">[1], </w:t>
                            </w:r>
                            <w:r w:rsidRPr="00742ED3">
                              <w:t>2, 3, 4</w:t>
                            </w:r>
                          </w:p>
                          <w:p w14:paraId="0D700454" w14:textId="77777777" w:rsidR="00316229" w:rsidRPr="004C2E90" w:rsidRDefault="00316229" w:rsidP="004C2E90">
                            <w:pPr>
                              <w:pStyle w:val="ListParagraph"/>
                              <w:numPr>
                                <w:ilvl w:val="2"/>
                                <w:numId w:val="45"/>
                              </w:numPr>
                              <w:tabs>
                                <w:tab w:val="left" w:pos="720"/>
                                <w:tab w:val="left" w:pos="1080"/>
                                <w:tab w:val="left" w:pos="2160"/>
                                <w:tab w:val="left" w:pos="2880"/>
                              </w:tabs>
                              <w:snapToGrid w:val="0"/>
                              <w:spacing w:after="100" w:afterAutospacing="1"/>
                              <w:ind w:left="2160"/>
                              <w:jc w:val="both"/>
                            </w:pPr>
                            <w:r w:rsidRPr="004D0EBF">
                              <w:t>Note: the maximum value of M*L and combination of M and L is up to UE capability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BC71F" id="Text Box 8" o:spid="_x0000_s1027" type="#_x0000_t202" style="position:absolute;margin-left:0;margin-top:0;width:2in;height:2in;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6XUVwIAAMsEAAAOAAAAZHJzL2Uyb0RvYy54bWysVE2P2jAQvVfqf7B8LwkUtikirCgrqkp0&#10;dyWo9mwch0S1PZZtSOiv79ghwG57qnox85U3M29mmN23SpKjsK4GndPhIKVEaA5Frfc5/bFdfcgo&#10;cZ7pgknQIqcn4ej9/P27WWOmYgQVyEJYgiDaTRuT08p7M00SxyuhmBuAERqdJVjFPKp2nxSWNYiu&#10;ZDJK07ukAVsYC1w4h9aHzknnEb8sBfdPZemEJzKnWJuPr43vLrzJfMame8tMVfNzGewfqlCs1pj0&#10;AvXAPCMHW/8BpWpuwUHpBxxUAmVZcxF7wG6G6ZtuNhUzIvaC5Dhzocn9P1j+eHy2pC5yioPSTOGI&#10;tqL15Au0JAvsNMZNMWhjMMy3aMYp93aHxtB0W1oVfrEdgn7k+XThNoDx8FE2yrIUXRx9vYL4yfVz&#10;Y53/KkCRIOTU4vAip+y4dr4L7UNCNgeyLla1lFEJCyOW0pIjw1Hv9sP4qTyo71B0tmySYv4OJ+5X&#10;CI8FvEKSmjQ5vfs4SSPCK19If80hGf/Z411rwYakRthAXEdQkHy7ayPNF/J2UJyQUwvdTjrDVzXC&#10;r5nzz8ziEiJXeFj+CZ9SAtYEZ4mSCuyvv9lDPO4GeilpcKlzqvHqKJHfNO7M5+F4HG4gKuPJpxEq&#10;9tazu/Xog1oCUjnEAzY8iiHey14sLagXvL5FyIkupjlmzqnvxaXvDg2vl4vFIgbh1hvm13pjeIAO&#10;owukbtsXZs158B535hH65WfTN/PvYuPQzeLgYVXH5Qgsd5yeyceLidM9X3c4yVs9Rl3/g+a/AQAA&#10;//8DAFBLAwQUAAYACAAAACEAsD8FedkAAAAFAQAADwAAAGRycy9kb3ducmV2LnhtbEyPT0vDQBDF&#10;74LfYRnBm93Yg4SYTRFRD4qgrVK9TbOTPzQ7G3a3bfTTO4qgl2Eeb3jze+VicoPaU4i9ZwPnswwU&#10;ce1tz62Bl9XtWQ4qJmSLg2cy8EERFtXxUYmF9Qd+pv0ytUpCOBZooEtpLLSOdUcO48yPxOI1PjhM&#10;IkOrbcCDhLtBz7PsQjvsWT50ONJ1R/V2uXMGbrZv+YN9fQou3Dfvn/rusVmvrTGnJ9PVJahEU/o7&#10;hm98QYdKmDZ+xzaqwYAUST9TvHmei9z8Lroq9X/66gsAAP//AwBQSwECLQAUAAYACAAAACEAtoM4&#10;kv4AAADhAQAAEwAAAAAAAAAAAAAAAAAAAAAAW0NvbnRlbnRfVHlwZXNdLnhtbFBLAQItABQABgAI&#10;AAAAIQA4/SH/1gAAAJQBAAALAAAAAAAAAAAAAAAAAC8BAABfcmVscy8ucmVsc1BLAQItABQABgAI&#10;AAAAIQDnd6XUVwIAAMsEAAAOAAAAAAAAAAAAAAAAAC4CAABkcnMvZTJvRG9jLnhtbFBLAQItABQA&#10;BgAIAAAAIQCwPwV52QAAAAUBAAAPAAAAAAAAAAAAAAAAALEEAABkcnMvZG93bnJldi54bWxQSwUG&#10;AAAAAAQABADzAAAAtwUAAAAA&#10;" fillcolor="#d8d8d8 [2732]" strokeweight=".5pt">
                <v:textbox style="mso-fit-shape-to-text:t">
                  <w:txbxContent>
                    <w:p w14:paraId="7F7582D4" w14:textId="77777777" w:rsidR="00316229" w:rsidRDefault="00316229" w:rsidP="00316229">
                      <w:pPr>
                        <w:rPr>
                          <w:rFonts w:eastAsia="DengXian" w:hint="eastAsia"/>
                          <w:highlight w:val="darkYellow"/>
                          <w:lang w:eastAsia="zh-CN"/>
                        </w:rPr>
                      </w:pPr>
                      <w:r>
                        <w:rPr>
                          <w:rFonts w:eastAsia="DengXian"/>
                          <w:highlight w:val="darkYellow"/>
                          <w:lang w:eastAsia="zh-CN"/>
                        </w:rPr>
                        <w:t>Working Assumption</w:t>
                      </w:r>
                    </w:p>
                    <w:p w14:paraId="5A28FB3F" w14:textId="77777777" w:rsidR="00316229" w:rsidRPr="00C841D1" w:rsidRDefault="00316229" w:rsidP="00316229">
                      <w:pPr>
                        <w:pStyle w:val="ListParagraph"/>
                        <w:numPr>
                          <w:ilvl w:val="0"/>
                          <w:numId w:val="45"/>
                        </w:numPr>
                        <w:tabs>
                          <w:tab w:val="clear" w:pos="360"/>
                          <w:tab w:val="left" w:pos="-360"/>
                          <w:tab w:val="left" w:pos="720"/>
                        </w:tabs>
                        <w:snapToGrid w:val="0"/>
                        <w:spacing w:after="100" w:afterAutospacing="1"/>
                        <w:ind w:left="720"/>
                        <w:contextualSpacing w:val="0"/>
                        <w:jc w:val="both"/>
                        <w:rPr>
                          <w:rFonts w:ascii="Calibri" w:eastAsia="SimSun" w:hAnsi="Calibri"/>
                        </w:rPr>
                      </w:pPr>
                      <w:r w:rsidRPr="00742ED3">
                        <w:t>For the beam selection for SSB based L1-RSRP measurement report,</w:t>
                      </w:r>
                    </w:p>
                    <w:p w14:paraId="713B8004" w14:textId="77777777" w:rsidR="00316229" w:rsidRPr="00742ED3" w:rsidRDefault="00316229" w:rsidP="00316229">
                      <w:pPr>
                        <w:pStyle w:val="ListParagraph"/>
                        <w:numPr>
                          <w:ilvl w:val="1"/>
                          <w:numId w:val="45"/>
                        </w:numPr>
                        <w:tabs>
                          <w:tab w:val="clear" w:pos="1080"/>
                          <w:tab w:val="left" w:pos="360"/>
                          <w:tab w:val="left" w:pos="720"/>
                          <w:tab w:val="left" w:pos="1440"/>
                        </w:tabs>
                        <w:snapToGrid w:val="0"/>
                        <w:spacing w:after="100" w:afterAutospacing="1"/>
                        <w:ind w:left="1440"/>
                        <w:contextualSpacing w:val="0"/>
                        <w:jc w:val="both"/>
                      </w:pPr>
                      <w:r w:rsidRPr="00742ED3">
                        <w:t xml:space="preserve">For the value of M, L </w:t>
                      </w:r>
                    </w:p>
                    <w:p w14:paraId="12AB1B62" w14:textId="77777777" w:rsidR="00316229" w:rsidRPr="00742ED3" w:rsidRDefault="00316229" w:rsidP="00316229">
                      <w:pPr>
                        <w:pStyle w:val="ListParagraph"/>
                        <w:numPr>
                          <w:ilvl w:val="2"/>
                          <w:numId w:val="45"/>
                        </w:numPr>
                        <w:tabs>
                          <w:tab w:val="clear" w:pos="1800"/>
                          <w:tab w:val="left" w:pos="720"/>
                          <w:tab w:val="left" w:pos="1080"/>
                          <w:tab w:val="left" w:pos="2160"/>
                        </w:tabs>
                        <w:snapToGrid w:val="0"/>
                        <w:spacing w:after="100" w:afterAutospacing="1"/>
                        <w:ind w:left="2160"/>
                        <w:contextualSpacing w:val="0"/>
                        <w:jc w:val="both"/>
                      </w:pPr>
                      <w:r w:rsidRPr="00742ED3">
                        <w:t xml:space="preserve">the RRC configured candidate values are: </w:t>
                      </w:r>
                    </w:p>
                    <w:p w14:paraId="494630E1" w14:textId="77777777" w:rsidR="00316229" w:rsidRPr="00742ED3" w:rsidRDefault="00316229" w:rsidP="00316229">
                      <w:pPr>
                        <w:pStyle w:val="ListParagraph"/>
                        <w:numPr>
                          <w:ilvl w:val="3"/>
                          <w:numId w:val="45"/>
                        </w:numPr>
                        <w:tabs>
                          <w:tab w:val="clear" w:pos="2520"/>
                          <w:tab w:val="left" w:pos="720"/>
                          <w:tab w:val="left" w:pos="1800"/>
                          <w:tab w:val="left" w:pos="2880"/>
                        </w:tabs>
                        <w:snapToGrid w:val="0"/>
                        <w:spacing w:after="100" w:afterAutospacing="1"/>
                        <w:ind w:left="2880"/>
                        <w:contextualSpacing w:val="0"/>
                        <w:jc w:val="both"/>
                      </w:pPr>
                      <w:r w:rsidRPr="00742ED3">
                        <w:t>M = 1, 2, 3, 4</w:t>
                      </w:r>
                    </w:p>
                    <w:p w14:paraId="24CDFD02" w14:textId="77777777" w:rsidR="00316229" w:rsidRPr="00742ED3" w:rsidRDefault="00316229" w:rsidP="00316229">
                      <w:pPr>
                        <w:pStyle w:val="ListParagraph"/>
                        <w:numPr>
                          <w:ilvl w:val="3"/>
                          <w:numId w:val="45"/>
                        </w:numPr>
                        <w:tabs>
                          <w:tab w:val="clear" w:pos="2520"/>
                          <w:tab w:val="left" w:pos="720"/>
                          <w:tab w:val="left" w:pos="1800"/>
                          <w:tab w:val="left" w:pos="2160"/>
                          <w:tab w:val="left" w:pos="2880"/>
                        </w:tabs>
                        <w:snapToGrid w:val="0"/>
                        <w:spacing w:after="100" w:afterAutospacing="1"/>
                        <w:ind w:left="2880"/>
                        <w:contextualSpacing w:val="0"/>
                        <w:jc w:val="both"/>
                      </w:pPr>
                      <w:r w:rsidRPr="00742ED3">
                        <w:t xml:space="preserve">L = </w:t>
                      </w:r>
                      <w:r>
                        <w:t xml:space="preserve">[1], </w:t>
                      </w:r>
                      <w:r w:rsidRPr="00742ED3">
                        <w:t>2, 3, 4</w:t>
                      </w:r>
                    </w:p>
                    <w:p w14:paraId="0D700454" w14:textId="77777777" w:rsidR="00316229" w:rsidRPr="004C2E90" w:rsidRDefault="00316229" w:rsidP="004C2E90">
                      <w:pPr>
                        <w:pStyle w:val="ListParagraph"/>
                        <w:numPr>
                          <w:ilvl w:val="2"/>
                          <w:numId w:val="45"/>
                        </w:numPr>
                        <w:tabs>
                          <w:tab w:val="left" w:pos="720"/>
                          <w:tab w:val="left" w:pos="1080"/>
                          <w:tab w:val="left" w:pos="2160"/>
                          <w:tab w:val="left" w:pos="2880"/>
                        </w:tabs>
                        <w:snapToGrid w:val="0"/>
                        <w:spacing w:after="100" w:afterAutospacing="1"/>
                        <w:ind w:left="2160"/>
                        <w:jc w:val="both"/>
                      </w:pPr>
                      <w:r w:rsidRPr="004D0EBF">
                        <w:t>Note: the maximum value of M*L and combination of M and L is up to UE capability</w:t>
                      </w:r>
                    </w:p>
                  </w:txbxContent>
                </v:textbox>
                <w10:wrap type="square"/>
              </v:shape>
            </w:pict>
          </mc:Fallback>
        </mc:AlternateContent>
      </w:r>
    </w:p>
    <w:p w14:paraId="242BE15B" w14:textId="34521901" w:rsidR="00316229" w:rsidRDefault="00316229" w:rsidP="006B45C1">
      <w:pPr>
        <w:rPr>
          <w:lang w:val="en-GB" w:eastAsia="ko-KR"/>
        </w:rPr>
      </w:pPr>
      <w:r>
        <w:rPr>
          <w:noProof/>
        </w:rPr>
        <mc:AlternateContent>
          <mc:Choice Requires="wps">
            <w:drawing>
              <wp:anchor distT="0" distB="0" distL="114300" distR="114300" simplePos="0" relativeHeight="251710464" behindDoc="0" locked="0" layoutInCell="1" allowOverlap="1" wp14:anchorId="62BAB4BB" wp14:editId="7B3DE791">
                <wp:simplePos x="0" y="0"/>
                <wp:positionH relativeFrom="margin">
                  <wp:align>left</wp:align>
                </wp:positionH>
                <wp:positionV relativeFrom="paragraph">
                  <wp:posOffset>271145</wp:posOffset>
                </wp:positionV>
                <wp:extent cx="5906135" cy="1828800"/>
                <wp:effectExtent l="0" t="0" r="18415" b="22860"/>
                <wp:wrapSquare wrapText="bothSides"/>
                <wp:docPr id="9" name="Text Box 9"/>
                <wp:cNvGraphicFramePr/>
                <a:graphic xmlns:a="http://schemas.openxmlformats.org/drawingml/2006/main">
                  <a:graphicData uri="http://schemas.microsoft.com/office/word/2010/wordprocessingShape">
                    <wps:wsp>
                      <wps:cNvSpPr txBox="1"/>
                      <wps:spPr>
                        <a:xfrm>
                          <a:off x="0" y="0"/>
                          <a:ext cx="5906135" cy="1828800"/>
                        </a:xfrm>
                        <a:prstGeom prst="rect">
                          <a:avLst/>
                        </a:prstGeom>
                        <a:solidFill>
                          <a:schemeClr val="bg1">
                            <a:lumMod val="95000"/>
                          </a:schemeClr>
                        </a:solidFill>
                        <a:ln w="6350">
                          <a:solidFill>
                            <a:prstClr val="black"/>
                          </a:solidFill>
                        </a:ln>
                      </wps:spPr>
                      <wps:txbx>
                        <w:txbxContent>
                          <w:p w14:paraId="3BD435F3" w14:textId="77777777" w:rsidR="00316229" w:rsidRDefault="00316229" w:rsidP="0031622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7267CB9" w14:textId="77777777" w:rsidR="00316229" w:rsidRPr="00FB3732" w:rsidRDefault="00316229" w:rsidP="00316229">
                            <w:pPr>
                              <w:pStyle w:val="ListParagraph"/>
                              <w:numPr>
                                <w:ilvl w:val="0"/>
                                <w:numId w:val="27"/>
                              </w:numPr>
                              <w:snapToGrid w:val="0"/>
                              <w:spacing w:after="0"/>
                              <w:contextualSpacing w:val="0"/>
                              <w:jc w:val="both"/>
                            </w:pPr>
                            <w:r w:rsidRPr="00FB3732">
                              <w:t>For the beam selection for SSB based L1-RSRP measurement report,</w:t>
                            </w:r>
                          </w:p>
                          <w:p w14:paraId="7A8BB00D" w14:textId="77777777" w:rsidR="00316229" w:rsidRPr="00FB3732" w:rsidRDefault="00316229" w:rsidP="00316229">
                            <w:pPr>
                              <w:pStyle w:val="ListParagraph"/>
                              <w:numPr>
                                <w:ilvl w:val="1"/>
                                <w:numId w:val="27"/>
                              </w:numPr>
                              <w:tabs>
                                <w:tab w:val="left" w:pos="360"/>
                              </w:tabs>
                              <w:snapToGrid w:val="0"/>
                              <w:spacing w:after="0"/>
                              <w:contextualSpacing w:val="0"/>
                              <w:jc w:val="both"/>
                            </w:pPr>
                            <w:r w:rsidRPr="00FB3732">
                              <w:t>The inclusion of current SpCell in the L1 measurement report is configurable.</w:t>
                            </w:r>
                          </w:p>
                          <w:p w14:paraId="5BEDE3AC" w14:textId="77777777" w:rsidR="00316229" w:rsidRPr="00824F59" w:rsidRDefault="00316229" w:rsidP="00824F59">
                            <w:pPr>
                              <w:pStyle w:val="ListParagraph"/>
                              <w:numPr>
                                <w:ilvl w:val="3"/>
                                <w:numId w:val="45"/>
                              </w:numPr>
                              <w:snapToGrid w:val="0"/>
                              <w:spacing w:after="0"/>
                              <w:ind w:left="1800"/>
                              <w:jc w:val="both"/>
                            </w:pPr>
                            <w:r w:rsidRPr="00FB3732">
                              <w:t>new UE capability(ies) are introduced and details can be discussed in UE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2BAB4BB" id="Text Box 9" o:spid="_x0000_s1028" type="#_x0000_t202" style="position:absolute;margin-left:0;margin-top:21.35pt;width:465.05pt;height:2in;z-index:2517104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0baYAIAAM0EAAAOAAAAZHJzL2Uyb0RvYy54bWysVEuP2jAQvlfqf7B8L0lYoIAIK8qKqhLd&#10;XQmqPRvHgai2x7UNCf31O3Z47banqhczr3wz880Mk/tGSXIQ1lWgc5p1UkqE5lBUepvTH+vFpyEl&#10;zjNdMAla5PQoHL2ffvwwqc1YdGEHshCWIIh249rkdOe9GSeJ4zuhmOuAERqdJVjFPKp2mxSW1Yiu&#10;ZNJN00FSgy2MBS6cQ+tD66TTiF+WgvunsnTCE5lTrM3H18Z3E95kOmHjrWVmV/FTGewfqlCs0pj0&#10;AvXAPCN7W/0BpSpuwUHpOxxUAmVZcRF7wG6y9F03qx0zIvaC5Dhzocn9P1j+eHi2pCpyOqJEM4Uj&#10;WovGky/QkFFgpzZujEErg2G+QTNO+Wx3aAxNN6VV4RfbIehHno8XbgMYR2N/lA6yuz4lHH3ZsDsc&#10;ppH95Pq5sc5/FaBIEHJqcXiRU3ZYOo+lYOg5JGRzIKtiUUkZlbAwYi4tOTAc9WabxU/lXn2HorWN&#10;+uklZdyvEB5R3yBJTeqcDu76aUR44wvprzkk4z8DFVjXTRRqUqMxENcSFCTfbJpIc/dM3gaKI3Jq&#10;od1JZ/iiQvglc/6ZWVxCpBEPyz/hU0rAmuAkUbID+/tv9hCPu4FeSmpc6py6X3tmBSXym8atGWW9&#10;XriCqPT6n7uo2FvP5taj92oOSGaGJ2x4FEO8l2extKBe8P5mISu6mOaYO6f+LM59e2p4v1zMZjEI&#10;994wv9QrwwN0GF6gdd28MGtOo/e4NY9wXn82frcBbWwcu5ntPSyquB6B55bVE/14M3E6p/sOR3mr&#10;x6jrv9D0FQAA//8DAFBLAwQUAAYACAAAACEA8gt0Ad0AAAAHAQAADwAAAGRycy9kb3ducmV2Lnht&#10;bEyPMU/DMBSEdyT+g/WQ2KjdBqU0zUtVIdjKQFuGbq/xI4mI7Sh2k/TfYyY6nu50912+mUwrBu59&#10;4yzCfKZAsC2dbmyFcDy8P72A8IGsptZZRriyh01xf5dTpt1oP3nYh0rEEuszQqhD6DIpfVmzIT9z&#10;HdvofbveUIiyr6TuaYzlppULpVJpqLFxoaaOX2suf/YXg7D72J3epi7U42rrvtLhoK6UHhEfH6bt&#10;GkTgKfyH4Q8/okMRmc7uYrUXLUI8EhCeF0sQ0V0lag7ijJAkagmyyOUtf/ELAAD//wMAUEsBAi0A&#10;FAAGAAgAAAAhALaDOJL+AAAA4QEAABMAAAAAAAAAAAAAAAAAAAAAAFtDb250ZW50X1R5cGVzXS54&#10;bWxQSwECLQAUAAYACAAAACEAOP0h/9YAAACUAQAACwAAAAAAAAAAAAAAAAAvAQAAX3JlbHMvLnJl&#10;bHNQSwECLQAUAAYACAAAACEARBtG2mACAADNBAAADgAAAAAAAAAAAAAAAAAuAgAAZHJzL2Uyb0Rv&#10;Yy54bWxQSwECLQAUAAYACAAAACEA8gt0Ad0AAAAHAQAADwAAAAAAAAAAAAAAAAC6BAAAZHJzL2Rv&#10;d25yZXYueG1sUEsFBgAAAAAEAAQA8wAAAMQFAAAAAA==&#10;" fillcolor="#f2f2f2 [3052]" strokeweight=".5pt">
                <v:textbox style="mso-fit-shape-to-text:t">
                  <w:txbxContent>
                    <w:p w14:paraId="3BD435F3" w14:textId="77777777" w:rsidR="00316229" w:rsidRDefault="00316229" w:rsidP="00316229">
                      <w:pPr>
                        <w:rPr>
                          <w:rFonts w:eastAsia="DengXian" w:hint="eastAsia"/>
                          <w:highlight w:val="green"/>
                          <w:lang w:eastAsia="zh-CN"/>
                        </w:rPr>
                      </w:pPr>
                      <w:r>
                        <w:rPr>
                          <w:rFonts w:eastAsia="DengXian" w:hint="eastAsia"/>
                          <w:highlight w:val="green"/>
                          <w:lang w:eastAsia="zh-CN"/>
                        </w:rPr>
                        <w:t>A</w:t>
                      </w:r>
                      <w:r>
                        <w:rPr>
                          <w:rFonts w:eastAsia="DengXian"/>
                          <w:highlight w:val="green"/>
                          <w:lang w:eastAsia="zh-CN"/>
                        </w:rPr>
                        <w:t>greement</w:t>
                      </w:r>
                    </w:p>
                    <w:p w14:paraId="57267CB9" w14:textId="77777777" w:rsidR="00316229" w:rsidRPr="00FB3732" w:rsidRDefault="00316229" w:rsidP="00316229">
                      <w:pPr>
                        <w:pStyle w:val="ListParagraph"/>
                        <w:numPr>
                          <w:ilvl w:val="0"/>
                          <w:numId w:val="27"/>
                        </w:numPr>
                        <w:snapToGrid w:val="0"/>
                        <w:spacing w:after="0"/>
                        <w:contextualSpacing w:val="0"/>
                        <w:jc w:val="both"/>
                      </w:pPr>
                      <w:r w:rsidRPr="00FB3732">
                        <w:t>For the beam selection for SSB based L1-RSRP measurement report,</w:t>
                      </w:r>
                    </w:p>
                    <w:p w14:paraId="7A8BB00D" w14:textId="77777777" w:rsidR="00316229" w:rsidRPr="00FB3732" w:rsidRDefault="00316229" w:rsidP="00316229">
                      <w:pPr>
                        <w:pStyle w:val="ListParagraph"/>
                        <w:numPr>
                          <w:ilvl w:val="1"/>
                          <w:numId w:val="27"/>
                        </w:numPr>
                        <w:tabs>
                          <w:tab w:val="left" w:pos="360"/>
                        </w:tabs>
                        <w:snapToGrid w:val="0"/>
                        <w:spacing w:after="0"/>
                        <w:contextualSpacing w:val="0"/>
                        <w:jc w:val="both"/>
                      </w:pPr>
                      <w:r w:rsidRPr="00FB3732">
                        <w:t>The inclusion of current SpCell in the L1 measurement report is configurable.</w:t>
                      </w:r>
                    </w:p>
                    <w:p w14:paraId="5BEDE3AC" w14:textId="77777777" w:rsidR="00316229" w:rsidRPr="00824F59" w:rsidRDefault="00316229" w:rsidP="00824F59">
                      <w:pPr>
                        <w:pStyle w:val="ListParagraph"/>
                        <w:numPr>
                          <w:ilvl w:val="3"/>
                          <w:numId w:val="45"/>
                        </w:numPr>
                        <w:snapToGrid w:val="0"/>
                        <w:spacing w:after="0"/>
                        <w:ind w:left="1800"/>
                        <w:jc w:val="both"/>
                      </w:pPr>
                      <w:r w:rsidRPr="00FB3732">
                        <w:t>new UE capability(ies) are introduced and details can be discussed in UE feature</w:t>
                      </w:r>
                    </w:p>
                  </w:txbxContent>
                </v:textbox>
                <w10:wrap type="square" anchorx="margin"/>
              </v:shape>
            </w:pict>
          </mc:Fallback>
        </mc:AlternateContent>
      </w:r>
      <w:r>
        <w:rPr>
          <w:lang w:val="en-GB" w:eastAsia="ko-KR"/>
        </w:rPr>
        <w:t>Furthermore, the following agreement was made:</w:t>
      </w:r>
    </w:p>
    <w:p w14:paraId="2B2203B2" w14:textId="758CC442" w:rsidR="00316229" w:rsidRDefault="00316229" w:rsidP="006B45C1">
      <w:pPr>
        <w:rPr>
          <w:lang w:val="en-GB" w:eastAsia="ko-KR"/>
        </w:rPr>
      </w:pPr>
    </w:p>
    <w:p w14:paraId="45C73E41" w14:textId="6588157D" w:rsidR="00316229" w:rsidRDefault="00316229" w:rsidP="006B45C1">
      <w:pPr>
        <w:rPr>
          <w:lang w:val="en-GB" w:eastAsia="ko-KR"/>
        </w:rPr>
      </w:pPr>
      <w:r>
        <w:rPr>
          <w:lang w:val="en-GB" w:eastAsia="ko-KR"/>
        </w:rPr>
        <w:t>We suggest to agree to the working assumption with the following updates:</w:t>
      </w:r>
    </w:p>
    <w:p w14:paraId="2D93108B" w14:textId="06AE1B25" w:rsidR="00316229" w:rsidRDefault="00316229" w:rsidP="00316229">
      <w:pPr>
        <w:pStyle w:val="ListParagraph"/>
        <w:numPr>
          <w:ilvl w:val="0"/>
          <w:numId w:val="47"/>
        </w:numPr>
        <w:rPr>
          <w:lang w:val="en-GB" w:eastAsia="ko-KR"/>
        </w:rPr>
      </w:pPr>
      <w:r>
        <w:rPr>
          <w:lang w:val="en-GB" w:eastAsia="ko-KR"/>
        </w:rPr>
        <w:t xml:space="preserve">If SpCell is configured to be included in the L1 measurement, the minimum value of L is 2. Else, if SpCell is configured to </w:t>
      </w:r>
      <w:r w:rsidR="005A1E11">
        <w:rPr>
          <w:lang w:val="en-GB" w:eastAsia="ko-KR"/>
        </w:rPr>
        <w:t xml:space="preserve">not </w:t>
      </w:r>
      <w:r>
        <w:rPr>
          <w:lang w:val="en-GB" w:eastAsia="ko-KR"/>
        </w:rPr>
        <w:t>be</w:t>
      </w:r>
      <w:r w:rsidR="005A1E11">
        <w:rPr>
          <w:lang w:val="en-GB" w:eastAsia="ko-KR"/>
        </w:rPr>
        <w:t xml:space="preserve"> included in the L1 measurement, the minimum value of L is 1.</w:t>
      </w:r>
    </w:p>
    <w:p w14:paraId="60540EBD" w14:textId="342D7DA9" w:rsidR="005A1E11" w:rsidRPr="00316229" w:rsidRDefault="005A1E11" w:rsidP="00316229">
      <w:pPr>
        <w:pStyle w:val="ListParagraph"/>
        <w:numPr>
          <w:ilvl w:val="0"/>
          <w:numId w:val="47"/>
        </w:numPr>
        <w:rPr>
          <w:lang w:val="en-GB" w:eastAsia="ko-KR"/>
        </w:rPr>
      </w:pPr>
      <w:r>
        <w:rPr>
          <w:lang w:val="en-GB" w:eastAsia="ko-KR"/>
        </w:rPr>
        <w:t>The minimum value</w:t>
      </w:r>
      <w:r w:rsidR="00BF57A1">
        <w:rPr>
          <w:lang w:val="en-GB" w:eastAsia="ko-KR"/>
        </w:rPr>
        <w:t xml:space="preserve"> for</w:t>
      </w:r>
      <w:r>
        <w:rPr>
          <w:lang w:val="en-GB" w:eastAsia="ko-KR"/>
        </w:rPr>
        <w:t xml:space="preserve"> LxM is 3. This is to ensure that the measurement report has 12 or more bits.</w:t>
      </w:r>
    </w:p>
    <w:p w14:paraId="110A835A" w14:textId="7871FCA0" w:rsidR="00316229" w:rsidRDefault="005A1E11" w:rsidP="006B45C1">
      <w:pPr>
        <w:rPr>
          <w:lang w:val="en-GB" w:eastAsia="ko-KR"/>
        </w:rPr>
      </w:pPr>
      <w:r>
        <w:rPr>
          <w:b/>
          <w:i/>
          <w:lang w:val="en-GB" w:eastAsia="ko-KR"/>
        </w:rPr>
        <w:t>Proposal 2</w:t>
      </w:r>
      <w:r w:rsidRPr="00CE7EEA">
        <w:rPr>
          <w:b/>
          <w:i/>
          <w:lang w:val="en-GB" w:eastAsia="ko-KR"/>
        </w:rPr>
        <w:t>:</w:t>
      </w:r>
      <w:r>
        <w:rPr>
          <w:b/>
          <w:i/>
          <w:lang w:val="en-GB" w:eastAsia="ko-KR"/>
        </w:rPr>
        <w:t xml:space="preserve"> Confirm the working assumption on beam measurement report from RAN1#113, with the following updates:</w:t>
      </w:r>
    </w:p>
    <w:p w14:paraId="2AB7AD65" w14:textId="77777777" w:rsidR="005A1E11" w:rsidRPr="005A1E11" w:rsidRDefault="005A1E11" w:rsidP="005A1E11">
      <w:pPr>
        <w:pStyle w:val="ListParagraph"/>
        <w:numPr>
          <w:ilvl w:val="0"/>
          <w:numId w:val="47"/>
        </w:numPr>
        <w:rPr>
          <w:b/>
          <w:i/>
          <w:lang w:val="en-GB" w:eastAsia="ko-KR"/>
        </w:rPr>
      </w:pPr>
      <w:r w:rsidRPr="005A1E11">
        <w:rPr>
          <w:b/>
          <w:i/>
          <w:lang w:val="en-GB" w:eastAsia="ko-KR"/>
        </w:rPr>
        <w:t>If SpCell is configured to be included in the L1 measurement, the minimum value of L is 2. Else, if SpCell is configured to not be included in the L1 measurement, the minimum value of L is 1.</w:t>
      </w:r>
    </w:p>
    <w:p w14:paraId="4212B2D1" w14:textId="1DB46626" w:rsidR="005A1E11" w:rsidRPr="005A1E11" w:rsidRDefault="00DF0060" w:rsidP="005A1E11">
      <w:pPr>
        <w:pStyle w:val="ListParagraph"/>
        <w:numPr>
          <w:ilvl w:val="0"/>
          <w:numId w:val="47"/>
        </w:numPr>
        <w:rPr>
          <w:b/>
          <w:i/>
          <w:lang w:val="en-GB" w:eastAsia="ko-KR"/>
        </w:rPr>
      </w:pPr>
      <w:r>
        <w:rPr>
          <w:b/>
          <w:i/>
          <w:lang w:val="en-GB" w:eastAsia="ko-KR"/>
        </w:rPr>
        <w:t>The minimum value</w:t>
      </w:r>
      <w:r w:rsidR="00BF57A1">
        <w:rPr>
          <w:b/>
          <w:i/>
          <w:lang w:val="en-GB" w:eastAsia="ko-KR"/>
        </w:rPr>
        <w:t xml:space="preserve"> for</w:t>
      </w:r>
      <w:r>
        <w:rPr>
          <w:b/>
          <w:i/>
          <w:lang w:val="en-GB" w:eastAsia="ko-KR"/>
        </w:rPr>
        <w:t xml:space="preserve"> L</w:t>
      </w:r>
      <w:r w:rsidRPr="00DF0060">
        <w:rPr>
          <w:b/>
          <w:lang w:val="en-GB" w:eastAsia="ko-KR"/>
        </w:rPr>
        <w:t>x</w:t>
      </w:r>
      <w:r w:rsidR="005A1E11" w:rsidRPr="005A1E11">
        <w:rPr>
          <w:b/>
          <w:i/>
          <w:lang w:val="en-GB" w:eastAsia="ko-KR"/>
        </w:rPr>
        <w:t>M is 3.</w:t>
      </w:r>
    </w:p>
    <w:p w14:paraId="2847BBCA" w14:textId="77777777" w:rsidR="005A1E11" w:rsidRDefault="005A1E11" w:rsidP="006B45C1">
      <w:pPr>
        <w:rPr>
          <w:lang w:val="en-GB" w:eastAsia="ko-KR"/>
        </w:rPr>
      </w:pPr>
    </w:p>
    <w:p w14:paraId="4C042068" w14:textId="18CD24D3" w:rsidR="005543DA" w:rsidRDefault="005543DA" w:rsidP="006B45C1">
      <w:pPr>
        <w:rPr>
          <w:lang w:val="en-GB" w:eastAsia="ko-KR"/>
        </w:rPr>
      </w:pPr>
      <w:r>
        <w:rPr>
          <w:lang w:val="en-GB" w:eastAsia="ko-KR"/>
        </w:rPr>
        <w:t>There are several open points in this agreement:</w:t>
      </w:r>
    </w:p>
    <w:p w14:paraId="595C0D62" w14:textId="77777777" w:rsidR="005543DA" w:rsidRDefault="005543DA" w:rsidP="006B45C1">
      <w:pPr>
        <w:pStyle w:val="ListParagraph"/>
        <w:numPr>
          <w:ilvl w:val="0"/>
          <w:numId w:val="25"/>
        </w:numPr>
        <w:rPr>
          <w:lang w:val="en-GB" w:eastAsia="ko-KR"/>
        </w:rPr>
      </w:pPr>
      <w:r w:rsidRPr="005543DA">
        <w:rPr>
          <w:lang w:val="en-GB" w:eastAsia="ko-KR"/>
        </w:rPr>
        <w:t xml:space="preserve">L and M are configured. </w:t>
      </w:r>
      <w:r>
        <w:rPr>
          <w:lang w:val="en-GB" w:eastAsia="ko-KR"/>
        </w:rPr>
        <w:t xml:space="preserve">The </w:t>
      </w:r>
      <w:r w:rsidRPr="005543DA">
        <w:rPr>
          <w:lang w:val="en-GB" w:eastAsia="ko-KR"/>
        </w:rPr>
        <w:t xml:space="preserve">UE selects </w:t>
      </w:r>
      <w:r>
        <w:rPr>
          <w:lang w:val="en-GB" w:eastAsia="ko-KR"/>
        </w:rPr>
        <w:t xml:space="preserve">the </w:t>
      </w:r>
      <w:r w:rsidRPr="005543DA">
        <w:rPr>
          <w:lang w:val="en-GB" w:eastAsia="ko-KR"/>
        </w:rPr>
        <w:t xml:space="preserve">L best cells and M best beams in each cell. </w:t>
      </w:r>
      <w:r>
        <w:rPr>
          <w:lang w:val="en-GB" w:eastAsia="ko-KR"/>
        </w:rPr>
        <w:t>The beast beams are in terms of higher RSRP.</w:t>
      </w:r>
    </w:p>
    <w:p w14:paraId="624C6812" w14:textId="77777777" w:rsidR="005543DA" w:rsidRDefault="005543DA" w:rsidP="006B45C1">
      <w:pPr>
        <w:pStyle w:val="ListParagraph"/>
        <w:numPr>
          <w:ilvl w:val="0"/>
          <w:numId w:val="25"/>
        </w:numPr>
        <w:rPr>
          <w:lang w:val="en-GB" w:eastAsia="ko-KR"/>
        </w:rPr>
      </w:pPr>
      <w:r>
        <w:rPr>
          <w:lang w:val="en-GB" w:eastAsia="ko-KR"/>
        </w:rPr>
        <w:t xml:space="preserve">The </w:t>
      </w:r>
      <w:r w:rsidRPr="005543DA">
        <w:rPr>
          <w:lang w:val="en-GB" w:eastAsia="ko-KR"/>
        </w:rPr>
        <w:t xml:space="preserve">first reported </w:t>
      </w:r>
      <w:r>
        <w:rPr>
          <w:lang w:val="en-GB" w:eastAsia="ko-KR"/>
        </w:rPr>
        <w:t>cell is</w:t>
      </w:r>
      <w:r w:rsidRPr="005543DA">
        <w:rPr>
          <w:lang w:val="en-GB" w:eastAsia="ko-KR"/>
        </w:rPr>
        <w:t xml:space="preserve"> that of the beam with highest RSRP.</w:t>
      </w:r>
      <w:r>
        <w:rPr>
          <w:lang w:val="en-GB" w:eastAsia="ko-KR"/>
        </w:rPr>
        <w:t xml:space="preserve"> The first reported beam is the beam with highest RSRP</w:t>
      </w:r>
    </w:p>
    <w:p w14:paraId="415674A2" w14:textId="77777777" w:rsidR="005543DA" w:rsidRDefault="005543DA" w:rsidP="006B45C1">
      <w:pPr>
        <w:pStyle w:val="ListParagraph"/>
        <w:numPr>
          <w:ilvl w:val="0"/>
          <w:numId w:val="25"/>
        </w:numPr>
        <w:rPr>
          <w:lang w:val="en-GB" w:eastAsia="ko-KR"/>
        </w:rPr>
      </w:pPr>
      <w:r>
        <w:rPr>
          <w:lang w:val="en-GB" w:eastAsia="ko-KR"/>
        </w:rPr>
        <w:t xml:space="preserve">The serving cell is included in the selected cells, when </w:t>
      </w:r>
      <m:oMath>
        <m:r>
          <w:rPr>
            <w:rFonts w:ascii="Cambria Math" w:hAnsi="Cambria Math"/>
            <w:lang w:val="en-GB" w:eastAsia="ko-KR"/>
          </w:rPr>
          <m:t>L≥2</m:t>
        </m:r>
      </m:oMath>
      <w:r>
        <w:rPr>
          <w:lang w:val="en-GB" w:eastAsia="ko-KR"/>
        </w:rPr>
        <w:t>.</w:t>
      </w:r>
    </w:p>
    <w:p w14:paraId="02941A6E" w14:textId="171A5AAD" w:rsidR="005543DA" w:rsidRDefault="005543DA" w:rsidP="006B45C1">
      <w:pPr>
        <w:pStyle w:val="ListParagraph"/>
        <w:numPr>
          <w:ilvl w:val="0"/>
          <w:numId w:val="25"/>
        </w:numPr>
        <w:rPr>
          <w:lang w:val="en-GB" w:eastAsia="ko-KR"/>
        </w:rPr>
      </w:pPr>
      <w:r w:rsidRPr="005543DA">
        <w:rPr>
          <w:lang w:val="en-GB" w:eastAsia="ko-KR"/>
        </w:rPr>
        <w:t xml:space="preserve">The </w:t>
      </w:r>
      <w:r>
        <w:rPr>
          <w:lang w:val="en-GB" w:eastAsia="ko-KR"/>
        </w:rPr>
        <w:t xml:space="preserve">selected </w:t>
      </w:r>
      <w:r w:rsidRPr="005543DA">
        <w:rPr>
          <w:lang w:val="en-GB" w:eastAsia="ko-KR"/>
        </w:rPr>
        <w:t>cells can be in the same frequency band or in different bands.</w:t>
      </w:r>
      <w:r w:rsidR="00F1799C">
        <w:rPr>
          <w:lang w:val="en-GB" w:eastAsia="ko-KR"/>
        </w:rPr>
        <w:t xml:space="preserve"> The L1 measurement report can include both L1 intra-frequency measurements and L1 inter-frequency measurement.</w:t>
      </w:r>
    </w:p>
    <w:p w14:paraId="32BC7A1E" w14:textId="6AF90EB5" w:rsidR="005543DA" w:rsidRDefault="005543DA" w:rsidP="006B45C1">
      <w:pPr>
        <w:pStyle w:val="ListParagraph"/>
        <w:numPr>
          <w:ilvl w:val="0"/>
          <w:numId w:val="25"/>
        </w:numPr>
        <w:rPr>
          <w:lang w:val="en-GB" w:eastAsia="ko-KR"/>
        </w:rPr>
      </w:pPr>
      <w:r w:rsidRPr="005543DA">
        <w:rPr>
          <w:lang w:val="en-GB" w:eastAsia="ko-KR"/>
        </w:rPr>
        <w:lastRenderedPageBreak/>
        <w:t>If UE can’t find M beams to report in each cell, or can’t find L cells to report</w:t>
      </w:r>
      <w:r>
        <w:rPr>
          <w:lang w:val="en-GB" w:eastAsia="ko-KR"/>
        </w:rPr>
        <w:t>, the</w:t>
      </w:r>
      <w:r w:rsidRPr="005543DA">
        <w:rPr>
          <w:lang w:val="en-GB" w:eastAsia="ko-KR"/>
        </w:rPr>
        <w:t xml:space="preserve"> UE reports less than LxM beams</w:t>
      </w:r>
      <w:r>
        <w:rPr>
          <w:lang w:val="en-GB" w:eastAsia="ko-KR"/>
        </w:rPr>
        <w:t>.</w:t>
      </w:r>
      <w:r w:rsidR="00B93FD5">
        <w:rPr>
          <w:lang w:val="en-GB" w:eastAsia="ko-KR"/>
        </w:rPr>
        <w:t xml:space="preserve"> Such flexible-size beam reporting does not necessarily increase </w:t>
      </w:r>
      <w:r w:rsidR="00622042">
        <w:rPr>
          <w:lang w:val="en-GB" w:eastAsia="ko-KR"/>
        </w:rPr>
        <w:t xml:space="preserve">decoding complexity at gNB’s side because the UE can report to the network </w:t>
      </w:r>
      <w:r w:rsidR="00865863">
        <w:rPr>
          <w:lang w:val="en-GB" w:eastAsia="ko-KR"/>
        </w:rPr>
        <w:t xml:space="preserve">payload information including </w:t>
      </w:r>
      <w:r w:rsidR="00622042">
        <w:rPr>
          <w:lang w:val="en-GB" w:eastAsia="ko-KR"/>
        </w:rPr>
        <w:t xml:space="preserve">the number of their selected </w:t>
      </w:r>
      <w:r w:rsidR="00865863">
        <w:rPr>
          <w:lang w:val="en-GB" w:eastAsia="ko-KR"/>
        </w:rPr>
        <w:t>cells/</w:t>
      </w:r>
      <w:r w:rsidR="00622042">
        <w:rPr>
          <w:lang w:val="en-GB" w:eastAsia="ko-KR"/>
        </w:rPr>
        <w:t>beams (e.g., in part of the beam report) so that the gNB can decode accordingly.</w:t>
      </w:r>
      <w:r w:rsidR="00B93FD5">
        <w:rPr>
          <w:lang w:val="en-GB" w:eastAsia="ko-KR"/>
        </w:rPr>
        <w:t xml:space="preserve"> </w:t>
      </w:r>
    </w:p>
    <w:p w14:paraId="1C9AB040" w14:textId="3496F7CF" w:rsidR="005543DA" w:rsidRPr="005543DA" w:rsidRDefault="005543DA" w:rsidP="006B45C1">
      <w:pPr>
        <w:pStyle w:val="ListParagraph"/>
        <w:numPr>
          <w:ilvl w:val="0"/>
          <w:numId w:val="25"/>
        </w:numPr>
        <w:rPr>
          <w:lang w:val="en-GB" w:eastAsia="ko-KR"/>
        </w:rPr>
      </w:pPr>
      <w:r w:rsidRPr="005543DA">
        <w:rPr>
          <w:lang w:val="en-GB" w:eastAsia="ko-KR"/>
        </w:rPr>
        <w:t>Use differential reporting</w:t>
      </w:r>
      <w:r>
        <w:rPr>
          <w:lang w:val="en-GB" w:eastAsia="ko-KR"/>
        </w:rPr>
        <w:t xml:space="preserve"> based in the Rel-17 design</w:t>
      </w:r>
      <w:r w:rsidRPr="005543DA">
        <w:rPr>
          <w:lang w:val="en-GB" w:eastAsia="ko-KR"/>
        </w:rPr>
        <w:t>.</w:t>
      </w:r>
    </w:p>
    <w:p w14:paraId="1CC3EC5F" w14:textId="72581EBD" w:rsidR="00315E95" w:rsidRDefault="00315E95" w:rsidP="006B45C1">
      <w:pPr>
        <w:rPr>
          <w:lang w:val="en-GB" w:eastAsia="ko-KR"/>
        </w:rPr>
      </w:pPr>
    </w:p>
    <w:p w14:paraId="39A029B1" w14:textId="27FA2B41" w:rsidR="005A1E11" w:rsidRDefault="005A1E11" w:rsidP="006B45C1">
      <w:pPr>
        <w:rPr>
          <w:lang w:val="en-GB" w:eastAsia="ko-KR"/>
        </w:rPr>
      </w:pPr>
      <w:r>
        <w:rPr>
          <w:lang w:val="en-GB" w:eastAsia="ko-KR"/>
        </w:rPr>
        <w:t>Rel-17 uses differential beam reporting, where a beam report includes K SSBRI-RSRP pairs, the RSRP of the first pair is a 7-bit absolute value</w:t>
      </w:r>
      <w:r w:rsidR="00A662B8">
        <w:rPr>
          <w:lang w:val="en-GB" w:eastAsia="ko-KR"/>
        </w:rPr>
        <w:t xml:space="preserve"> in the range [-140,-44] dBm, with a quantization step size of 1 dB</w:t>
      </w:r>
      <w:r>
        <w:rPr>
          <w:lang w:val="en-GB" w:eastAsia="ko-KR"/>
        </w:rPr>
        <w:t>, and the remaining K-1 pairs have a 4-bit differential RSRP</w:t>
      </w:r>
      <w:r w:rsidR="00A662B8">
        <w:rPr>
          <w:lang w:val="en-GB" w:eastAsia="ko-KR"/>
        </w:rPr>
        <w:t xml:space="preserve"> relative to the first </w:t>
      </w:r>
      <w:r w:rsidR="003B77EB">
        <w:rPr>
          <w:lang w:val="en-GB" w:eastAsia="ko-KR"/>
        </w:rPr>
        <w:t>RSRP and with a quantization step size of 2 dB</w:t>
      </w:r>
      <w:r>
        <w:rPr>
          <w:lang w:val="en-GB" w:eastAsia="ko-KR"/>
        </w:rPr>
        <w:t xml:space="preserve">. </w:t>
      </w:r>
      <w:r w:rsidR="00A662B8">
        <w:rPr>
          <w:lang w:val="en-GB" w:eastAsia="ko-KR"/>
        </w:rPr>
        <w:t xml:space="preserve">The same framework can be used for LTM measurement reporting. In RAN1#112b-e, it was agreed to report </w:t>
      </w:r>
      <m:oMath>
        <m:r>
          <w:rPr>
            <w:rFonts w:ascii="Cambria Math" w:hAnsi="Cambria Math"/>
            <w:lang w:val="en-GB" w:eastAsia="ko-KR"/>
          </w:rPr>
          <m:t>L×M</m:t>
        </m:r>
      </m:oMath>
      <w:r w:rsidR="00A662B8">
        <w:rPr>
          <w:lang w:val="en-GB" w:eastAsia="ko-KR"/>
        </w:rPr>
        <w:t xml:space="preserve"> beams. The first of the </w:t>
      </w:r>
      <m:oMath>
        <m:r>
          <w:rPr>
            <w:rFonts w:ascii="Cambria Math" w:hAnsi="Cambria Math"/>
            <w:lang w:val="en-GB" w:eastAsia="ko-KR"/>
          </w:rPr>
          <m:t>L×M</m:t>
        </m:r>
      </m:oMath>
      <w:r w:rsidR="00A662B8">
        <w:rPr>
          <w:lang w:val="en-GB" w:eastAsia="ko-KR"/>
        </w:rPr>
        <w:t xml:space="preserve"> beams (with the largest RSRP) can use an absolute value with 7-bits </w:t>
      </w:r>
      <w:r w:rsidR="003B77EB">
        <w:rPr>
          <w:lang w:val="en-GB" w:eastAsia="ko-KR"/>
        </w:rPr>
        <w:t>in the range [-140,-44] dBm with a 1-</w:t>
      </w:r>
      <w:r w:rsidR="00A662B8">
        <w:rPr>
          <w:lang w:val="en-GB" w:eastAsia="ko-KR"/>
        </w:rPr>
        <w:t xml:space="preserve">dB quantization step, the remaining </w:t>
      </w:r>
      <m:oMath>
        <m:r>
          <w:rPr>
            <w:rFonts w:ascii="Cambria Math" w:hAnsi="Cambria Math"/>
            <w:lang w:val="en-GB" w:eastAsia="ko-KR"/>
          </w:rPr>
          <m:t>L×M-1</m:t>
        </m:r>
      </m:oMath>
      <w:r w:rsidR="00A662B8">
        <w:rPr>
          <w:lang w:val="en-GB" w:eastAsia="ko-KR"/>
        </w:rPr>
        <w:t xml:space="preserve"> beams use differential reporting relative to the strongest beam with 4-bits, and a 2-dB quantization step.</w:t>
      </w:r>
    </w:p>
    <w:p w14:paraId="08AB5554" w14:textId="191D8554" w:rsidR="005A1E11" w:rsidRDefault="005A1E11" w:rsidP="006B45C1">
      <w:pPr>
        <w:rPr>
          <w:lang w:val="en-GB" w:eastAsia="ko-KR"/>
        </w:rPr>
      </w:pPr>
      <w:r>
        <w:rPr>
          <w:b/>
          <w:i/>
          <w:lang w:val="en-GB" w:eastAsia="ko-KR"/>
        </w:rPr>
        <w:t>Proposal 3</w:t>
      </w:r>
      <w:r w:rsidRPr="00CE7EEA">
        <w:rPr>
          <w:b/>
          <w:i/>
          <w:lang w:val="en-GB" w:eastAsia="ko-KR"/>
        </w:rPr>
        <w:t>:</w:t>
      </w:r>
      <w:r>
        <w:rPr>
          <w:b/>
          <w:i/>
          <w:lang w:val="en-GB" w:eastAsia="ko-KR"/>
        </w:rPr>
        <w:t xml:space="preserve"> For LTM-based beam reporting, differential beam reporting is used. The first beam in the beam measurement report uses 7-bits</w:t>
      </w:r>
      <w:r w:rsidR="00A662B8">
        <w:rPr>
          <w:b/>
          <w:i/>
          <w:lang w:val="en-GB" w:eastAsia="ko-KR"/>
        </w:rPr>
        <w:t xml:space="preserve"> </w:t>
      </w:r>
      <w:r w:rsidR="003B77EB">
        <w:rPr>
          <w:b/>
          <w:i/>
          <w:lang w:val="en-GB" w:eastAsia="ko-KR"/>
        </w:rPr>
        <w:t xml:space="preserve">in the range [-140,-44] dBm </w:t>
      </w:r>
      <w:r w:rsidR="00A662B8">
        <w:rPr>
          <w:b/>
          <w:i/>
          <w:lang w:val="en-GB" w:eastAsia="ko-KR"/>
        </w:rPr>
        <w:t>with a 1-dB quantization step</w:t>
      </w:r>
      <w:r>
        <w:rPr>
          <w:b/>
          <w:i/>
          <w:lang w:val="en-GB" w:eastAsia="ko-KR"/>
        </w:rPr>
        <w:t xml:space="preserve">. The remaining </w:t>
      </w:r>
      <m:oMath>
        <m:r>
          <m:rPr>
            <m:sty m:val="bi"/>
          </m:rPr>
          <w:rPr>
            <w:rFonts w:ascii="Cambria Math" w:hAnsi="Cambria Math"/>
            <w:lang w:val="en-GB" w:eastAsia="ko-KR"/>
          </w:rPr>
          <m:t>L×M-1</m:t>
        </m:r>
      </m:oMath>
      <w:r>
        <w:rPr>
          <w:b/>
          <w:i/>
          <w:lang w:val="en-GB" w:eastAsia="ko-KR"/>
        </w:rPr>
        <w:t xml:space="preserve"> beams are reported relative to the first beam using 4-bits with a 2 dB quantization step.</w:t>
      </w:r>
    </w:p>
    <w:p w14:paraId="2E1284A6" w14:textId="77777777" w:rsidR="003F4DF3" w:rsidRDefault="003F4DF3" w:rsidP="003F4DF3">
      <w:pPr>
        <w:rPr>
          <w:lang w:eastAsia="ko-KR"/>
        </w:rPr>
      </w:pPr>
    </w:p>
    <w:p w14:paraId="1DB2117D" w14:textId="1F73B074" w:rsidR="00BD75D7" w:rsidRDefault="00BD75D7" w:rsidP="00521527">
      <w:pPr>
        <w:pStyle w:val="Heading2"/>
        <w:rPr>
          <w:lang w:eastAsia="ko-KR"/>
        </w:rPr>
      </w:pPr>
      <w:r>
        <w:rPr>
          <w:lang w:eastAsia="ko-KR"/>
        </w:rPr>
        <w:t>Beam indication</w:t>
      </w:r>
    </w:p>
    <w:p w14:paraId="3A43A3B2" w14:textId="4C8135E7" w:rsidR="00F94D03" w:rsidRDefault="00B837D2" w:rsidP="00F94D03">
      <w:pPr>
        <w:rPr>
          <w:lang w:val="en-GB" w:eastAsia="ko-KR"/>
        </w:rPr>
      </w:pPr>
      <w:r>
        <w:rPr>
          <w:lang w:val="en-GB" w:eastAsia="ko-KR"/>
        </w:rPr>
        <w:t>For inter-cell beam management,</w:t>
      </w:r>
      <w:r w:rsidR="00A954F4">
        <w:rPr>
          <w:lang w:val="en-GB" w:eastAsia="ko-KR"/>
        </w:rPr>
        <w:t xml:space="preserve"> the TCI state can be associated with a cell having a PCI different from the PCI of the serving cell.</w:t>
      </w:r>
      <w:r>
        <w:rPr>
          <w:lang w:val="en-GB" w:eastAsia="ko-KR"/>
        </w:rPr>
        <w:t xml:space="preserve"> The same framework can be used for L1/L2 mobility as starting point.</w:t>
      </w:r>
      <w:r w:rsidR="00520D25">
        <w:rPr>
          <w:lang w:val="en-GB" w:eastAsia="ko-KR"/>
        </w:rPr>
        <w:t xml:space="preserve"> In RAN1#111, it was agreed to at least use Rel-17 unified TCI state framework for Rel-18 LTM beam indication. However, there was an open point on whether to support Rel-18 LTM when at least one of the cells doesn’t support the Rel-17 unified TCI state framework.</w:t>
      </w:r>
    </w:p>
    <w:p w14:paraId="13FDB52A" w14:textId="64496F7A" w:rsidR="00520D25" w:rsidRDefault="00520D25" w:rsidP="00F94D03">
      <w:pPr>
        <w:rPr>
          <w:lang w:val="en-GB" w:eastAsia="ko-KR"/>
        </w:rPr>
      </w:pPr>
    </w:p>
    <w:p w14:paraId="704699DF" w14:textId="7789094B" w:rsidR="00520D25" w:rsidRDefault="00520D25" w:rsidP="00F94D03">
      <w:pPr>
        <w:rPr>
          <w:lang w:val="en-GB" w:eastAsia="ko-KR"/>
        </w:rPr>
      </w:pPr>
      <w:r>
        <w:rPr>
          <w:noProof/>
        </w:rPr>
        <mc:AlternateContent>
          <mc:Choice Requires="wps">
            <w:drawing>
              <wp:anchor distT="0" distB="0" distL="114300" distR="114300" simplePos="0" relativeHeight="251689984" behindDoc="0" locked="0" layoutInCell="1" allowOverlap="1" wp14:anchorId="5F368AC4" wp14:editId="07270240">
                <wp:simplePos x="0" y="0"/>
                <wp:positionH relativeFrom="column">
                  <wp:posOffset>0</wp:posOffset>
                </wp:positionH>
                <wp:positionV relativeFrom="paragraph">
                  <wp:posOffset>0</wp:posOffset>
                </wp:positionV>
                <wp:extent cx="1828800" cy="1828800"/>
                <wp:effectExtent l="0" t="0" r="24765" b="1016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368AC4" id="Text Box 15" o:spid="_x0000_s1029"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MirWgIAAM0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0vMbsKZ&#10;EQ1m9Ki6wL5Qx2ACP631M4StLAJDBztiB7uHMbbdVa6Jv2iIwQ+mn1/YjWgyfjQdT6c5XBK+QQF+&#10;dvzcOh++KmpYFAruML7Eqtjf+tCHDiExmyddl8ta66TElVHX2rG9wLDXm1H6VO+a71T2totJjvw9&#10;TtqwGJ4KeIOkDWsLfn46yRPCG19Mf8yhhfw54B1rQUPaADYS1xMUpdCtu0T06UDemspncOqo30pv&#10;5bIG/K3w4UE4rCG4wmmFezyVJtREB4mzLblff7PHeGwHvJy1WOuCG9wdZ/qbwdZcjM7O4hUk5Wzy&#10;eQ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AjMirWgIAAM0EAAAOAAAAAAAAAAAAAAAAAC4CAABkcnMvZTJvRG9jLnhtbFBLAQIt&#10;ABQABgAIAAAAIQA2VE8B2QAAAAUBAAAPAAAAAAAAAAAAAAAAALQEAABkcnMvZG93bnJldi54bWxQ&#10;SwUGAAAAAAQABADzAAAAugUAAAAA&#10;" fillcolor="#f2f2f2 [3052]" strokeweight=".5pt">
                <v:textbox style="mso-fit-shape-to-text:t">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v:textbox>
                <w10:wrap type="square"/>
              </v:shape>
            </w:pict>
          </mc:Fallback>
        </mc:AlternateContent>
      </w:r>
    </w:p>
    <w:p w14:paraId="191643CB" w14:textId="3155B373" w:rsidR="00520D25" w:rsidRDefault="00520D25" w:rsidP="00F94D03">
      <w:pPr>
        <w:rPr>
          <w:lang w:val="en-GB" w:eastAsia="ko-KR"/>
        </w:rPr>
      </w:pPr>
      <w:r>
        <w:rPr>
          <w:lang w:val="en-GB" w:eastAsia="ko-KR"/>
        </w:rPr>
        <w:t xml:space="preserve">Unlike Rel-15 TCI/spatial relation framework, Rel-17 unified TCI state framework already </w:t>
      </w:r>
      <w:r w:rsidR="005D4D45">
        <w:rPr>
          <w:lang w:val="en-GB" w:eastAsia="ko-KR"/>
        </w:rPr>
        <w:t xml:space="preserve">supports beam indication for non-serving cells. Introducing such capability to the Rel-15 TCI/spatial relation framework would be a major design undertaking. </w:t>
      </w:r>
    </w:p>
    <w:p w14:paraId="3FD210F7" w14:textId="58BCD902" w:rsidR="005D4D45" w:rsidRPr="005D4D45" w:rsidRDefault="005D4D45" w:rsidP="00F94D03">
      <w:pPr>
        <w:rPr>
          <w:b/>
          <w:i/>
          <w:lang w:val="en-GB" w:eastAsia="ko-KR"/>
        </w:rPr>
      </w:pPr>
      <w:r w:rsidRPr="005D4D45">
        <w:rPr>
          <w:b/>
          <w:i/>
          <w:lang w:val="en-GB" w:eastAsia="ko-KR"/>
        </w:rPr>
        <w:t xml:space="preserve">Observation </w:t>
      </w:r>
      <w:r w:rsidR="00440BAB">
        <w:rPr>
          <w:b/>
          <w:i/>
          <w:lang w:val="en-GB" w:eastAsia="ko-KR"/>
        </w:rPr>
        <w:t>2</w:t>
      </w:r>
      <w:r w:rsidRPr="005D4D45">
        <w:rPr>
          <w:b/>
          <w:i/>
          <w:lang w:val="en-GB" w:eastAsia="ko-KR"/>
        </w:rPr>
        <w:t>: Rel-15 TCI/spatial relation framework doesn’t support beam indication for non-serving cells.</w:t>
      </w:r>
    </w:p>
    <w:p w14:paraId="26E2F91C" w14:textId="33AA1FC0" w:rsidR="00520D25" w:rsidRDefault="005D4D45" w:rsidP="00F94D03">
      <w:pPr>
        <w:rPr>
          <w:lang w:val="en-GB" w:eastAsia="ko-KR"/>
        </w:rPr>
      </w:pPr>
      <w:r>
        <w:rPr>
          <w:lang w:val="en-GB" w:eastAsia="ko-KR"/>
        </w:rPr>
        <w:t>Furthermore, we don’t see a strong benefit in designing two solutions (based on the Rel-15 TCI/spatial relation framework and Rel-17 unified TCI state framework) for the same feature. This increases the design effort. A pre-requisite for supporting Rel-18 LTM is the support of Rel-17 unified TCI framework.</w:t>
      </w:r>
    </w:p>
    <w:p w14:paraId="4296ED64" w14:textId="2B0389A4" w:rsidR="00B837D2" w:rsidRDefault="00B837D2" w:rsidP="00F94D03">
      <w:pPr>
        <w:rPr>
          <w:b/>
          <w:i/>
          <w:lang w:val="en-GB" w:eastAsia="ko-KR"/>
        </w:rPr>
      </w:pPr>
      <w:r w:rsidRPr="00B837D2">
        <w:rPr>
          <w:b/>
          <w:i/>
          <w:lang w:val="en-GB" w:eastAsia="ko-KR"/>
        </w:rPr>
        <w:t xml:space="preserve">Proposal </w:t>
      </w:r>
      <w:r w:rsidR="00440BAB">
        <w:rPr>
          <w:b/>
          <w:i/>
          <w:lang w:val="en-GB" w:eastAsia="ko-KR"/>
        </w:rPr>
        <w:t>4</w:t>
      </w:r>
      <w:r w:rsidRPr="00B837D2">
        <w:rPr>
          <w:b/>
          <w:i/>
          <w:lang w:val="en-GB" w:eastAsia="ko-KR"/>
        </w:rPr>
        <w:t xml:space="preserve">: </w:t>
      </w:r>
      <w:r w:rsidR="005D4D45">
        <w:rPr>
          <w:b/>
          <w:i/>
          <w:lang w:val="en-GB" w:eastAsia="ko-KR"/>
        </w:rPr>
        <w:t>A pre-requisite for support</w:t>
      </w:r>
      <w:r w:rsidR="00AC3B28">
        <w:rPr>
          <w:b/>
          <w:i/>
          <w:lang w:val="en-GB" w:eastAsia="ko-KR"/>
        </w:rPr>
        <w:t>ing</w:t>
      </w:r>
      <w:r w:rsidR="005D4D45">
        <w:rPr>
          <w:b/>
          <w:i/>
          <w:lang w:val="en-GB" w:eastAsia="ko-KR"/>
        </w:rPr>
        <w:t xml:space="preserve"> Rel-18 LTM is the support of Rel-17 unified TCI state framework</w:t>
      </w:r>
      <w:r w:rsidRPr="00B837D2">
        <w:rPr>
          <w:b/>
          <w:i/>
          <w:lang w:val="en-GB" w:eastAsia="ko-KR"/>
        </w:rPr>
        <w:t>.</w:t>
      </w:r>
    </w:p>
    <w:p w14:paraId="555EBE42" w14:textId="04415223" w:rsidR="00D0097D" w:rsidRDefault="00D0097D" w:rsidP="00F94D03">
      <w:pPr>
        <w:rPr>
          <w:lang w:val="en-GB" w:eastAsia="ko-KR"/>
        </w:rPr>
      </w:pPr>
      <w:r>
        <w:rPr>
          <w:lang w:val="en-GB" w:eastAsia="ko-KR"/>
        </w:rPr>
        <w:t>In RAN1#112, the following agreement was made:</w:t>
      </w:r>
    </w:p>
    <w:p w14:paraId="1FBDF60C" w14:textId="26E74DB6" w:rsidR="00D0097D" w:rsidRDefault="00D0097D" w:rsidP="00F94D03">
      <w:pPr>
        <w:rPr>
          <w:lang w:val="en-GB" w:eastAsia="ko-KR"/>
        </w:rPr>
      </w:pPr>
      <w:r>
        <w:rPr>
          <w:noProof/>
        </w:rPr>
        <mc:AlternateContent>
          <mc:Choice Requires="wps">
            <w:drawing>
              <wp:anchor distT="0" distB="0" distL="114300" distR="114300" simplePos="0" relativeHeight="251700224" behindDoc="0" locked="0" layoutInCell="1" allowOverlap="1" wp14:anchorId="129CF6A4" wp14:editId="5A6DC339">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562DB3E" w14:textId="77777777" w:rsidR="00D0097D" w:rsidRDefault="00D0097D"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D0097D" w:rsidRPr="009F2F17" w:rsidRDefault="00D0097D" w:rsidP="00D0097D">
                            <w:pPr>
                              <w:pStyle w:val="ListParagraph"/>
                              <w:numPr>
                                <w:ilvl w:val="0"/>
                                <w:numId w:val="27"/>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D0097D" w:rsidRPr="0037298F" w:rsidRDefault="00D0097D" w:rsidP="0037298F">
                            <w:pPr>
                              <w:pStyle w:val="ListParagraph"/>
                              <w:numPr>
                                <w:ilvl w:val="0"/>
                                <w:numId w:val="27"/>
                              </w:numPr>
                              <w:snapToGrid w:val="0"/>
                              <w:spacing w:after="0"/>
                              <w:jc w:val="both"/>
                            </w:pPr>
                            <w:r w:rsidRPr="00242EF7">
                              <w:t xml:space="preserve">FFS: </w:t>
                            </w:r>
                            <w:r>
                              <w:t xml:space="preserve">beam indication for </w:t>
                            </w:r>
                            <w:r w:rsidRPr="00242EF7">
                              <w:t>mTRP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9CF6A4" id="Text Box 5" o:spid="_x0000_s1030"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Y8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7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EWZ2PFgCAADLBAAADgAAAAAAAAAAAAAAAAAuAgAAZHJzL2Uyb0RvYy54bWxQSwECLQAU&#10;AAYACAAAACEANlRPAdkAAAAFAQAADwAAAAAAAAAAAAAAAACyBAAAZHJzL2Rvd25yZXYueG1sUEsF&#10;BgAAAAAEAAQA8wAAALgFAAAAAA==&#10;" fillcolor="#f2f2f2 [3052]" strokeweight=".5pt">
                <v:textbox style="mso-fit-shape-to-text:t">
                  <w:txbxContent>
                    <w:p w14:paraId="2562DB3E" w14:textId="77777777" w:rsidR="00D0097D" w:rsidRDefault="00D0097D"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D0097D" w:rsidRPr="009F2F17" w:rsidRDefault="00D0097D" w:rsidP="00D0097D">
                      <w:pPr>
                        <w:pStyle w:val="ListParagraph"/>
                        <w:numPr>
                          <w:ilvl w:val="0"/>
                          <w:numId w:val="27"/>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D0097D" w:rsidRPr="0037298F" w:rsidRDefault="00D0097D" w:rsidP="0037298F">
                      <w:pPr>
                        <w:pStyle w:val="ListParagraph"/>
                        <w:numPr>
                          <w:ilvl w:val="0"/>
                          <w:numId w:val="27"/>
                        </w:numPr>
                        <w:snapToGrid w:val="0"/>
                        <w:spacing w:after="0"/>
                        <w:jc w:val="both"/>
                      </w:pPr>
                      <w:r w:rsidRPr="00242EF7">
                        <w:t xml:space="preserve">FFS: </w:t>
                      </w:r>
                      <w:r>
                        <w:t xml:space="preserve">beam indication for </w:t>
                      </w:r>
                      <w:r w:rsidRPr="00242EF7">
                        <w:t>mTRP case</w:t>
                      </w:r>
                    </w:p>
                  </w:txbxContent>
                </v:textbox>
                <w10:wrap type="square"/>
              </v:shape>
            </w:pict>
          </mc:Fallback>
        </mc:AlternateContent>
      </w:r>
    </w:p>
    <w:p w14:paraId="62644D5C" w14:textId="584BC004" w:rsidR="00D0097D" w:rsidRDefault="00EA662B" w:rsidP="00F94D03">
      <w:pPr>
        <w:rPr>
          <w:lang w:val="en-GB" w:eastAsia="ko-KR"/>
        </w:rPr>
      </w:pPr>
      <w:r>
        <w:rPr>
          <w:lang w:val="en-GB" w:eastAsia="ko-KR"/>
        </w:rPr>
        <w:lastRenderedPageBreak/>
        <w:t>According to this agreement, after cell switch the signals/channels that are configured to follow the Rel-17 unified TCI state follow the indicated TCI state in the cell switch commands. For channels associated with Common Search Space (CCS) set other than Type-3 CCS set, the corresponding CORESET can be configured an additional TCI state.</w:t>
      </w:r>
      <w:r w:rsidR="00167B82">
        <w:rPr>
          <w:lang w:val="en-GB" w:eastAsia="ko-KR"/>
        </w:rPr>
        <w:t xml:space="preserve"> At the time of cell switch, the CORSET of common channels (associated with CCS set other than Type-3 CSS set), not configured to follow the unified TCI state, should switch from using the TCI state of the source serving cell to that of the target serving cell.</w:t>
      </w:r>
      <w:r>
        <w:rPr>
          <w:lang w:val="en-GB" w:eastAsia="ko-KR"/>
        </w:rPr>
        <w:t xml:space="preserve"> </w:t>
      </w:r>
      <w:r w:rsidR="0092026F">
        <w:rPr>
          <w:lang w:val="en-GB" w:eastAsia="ko-KR"/>
        </w:rPr>
        <w:t>The following two options can be further considered to determine the TCI state to use for CORESETs associated with CSS set other than Type-3 CSS set when switching to the Target serving cell.</w:t>
      </w:r>
    </w:p>
    <w:p w14:paraId="00432999" w14:textId="395984AC" w:rsidR="0092026F" w:rsidRDefault="0092026F" w:rsidP="0092026F">
      <w:pPr>
        <w:pStyle w:val="ListParagraph"/>
        <w:numPr>
          <w:ilvl w:val="0"/>
          <w:numId w:val="42"/>
        </w:numPr>
        <w:rPr>
          <w:lang w:val="en-GB" w:eastAsia="ko-KR"/>
        </w:rPr>
      </w:pPr>
      <w:r>
        <w:rPr>
          <w:lang w:val="en-GB" w:eastAsia="ko-KR"/>
        </w:rPr>
        <w:t>The CORESETs associated with CSS set other than Type-3 CSS set follow the unified TCI state of the target cell until configured a new TCI state.</w:t>
      </w:r>
    </w:p>
    <w:p w14:paraId="284AD4A9" w14:textId="29F24C81" w:rsidR="0092026F" w:rsidRDefault="0092026F" w:rsidP="0092026F">
      <w:pPr>
        <w:pStyle w:val="ListParagraph"/>
        <w:numPr>
          <w:ilvl w:val="0"/>
          <w:numId w:val="42"/>
        </w:numPr>
        <w:rPr>
          <w:lang w:val="en-GB" w:eastAsia="ko-KR"/>
        </w:rPr>
      </w:pPr>
      <w:r>
        <w:rPr>
          <w:lang w:val="en-GB" w:eastAsia="ko-KR"/>
        </w:rPr>
        <w:t>An additional TCI state is signalled in the cell switch command for the CORESETs associated with CSS set other than Type-3 CSS set.</w:t>
      </w:r>
    </w:p>
    <w:p w14:paraId="4F6DC05D" w14:textId="094909C6" w:rsidR="0092026F" w:rsidRPr="0092026F" w:rsidRDefault="0092026F" w:rsidP="0092026F">
      <w:pPr>
        <w:rPr>
          <w:b/>
          <w:i/>
          <w:lang w:val="en-GB" w:eastAsia="ko-KR"/>
        </w:rPr>
      </w:pPr>
      <w:r w:rsidRPr="0092026F">
        <w:rPr>
          <w:b/>
          <w:i/>
          <w:lang w:val="en-GB" w:eastAsia="ko-KR"/>
        </w:rPr>
        <w:t xml:space="preserve">Proposal </w:t>
      </w:r>
      <w:r w:rsidR="00DF0060">
        <w:rPr>
          <w:b/>
          <w:i/>
          <w:lang w:val="en-GB" w:eastAsia="ko-KR"/>
        </w:rPr>
        <w:t>5</w:t>
      </w:r>
      <w:r w:rsidRPr="0092026F">
        <w:rPr>
          <w:b/>
          <w:i/>
          <w:lang w:val="en-GB" w:eastAsia="ko-KR"/>
        </w:rPr>
        <w:t>: for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 after cell switch </w:t>
      </w:r>
      <w:r w:rsidR="00440BAB">
        <w:rPr>
          <w:b/>
          <w:i/>
          <w:lang w:val="en-GB" w:eastAsia="ko-KR"/>
        </w:rPr>
        <w:t>down-select</w:t>
      </w:r>
      <w:r w:rsidRPr="0092026F">
        <w:rPr>
          <w:b/>
          <w:i/>
          <w:lang w:val="en-GB" w:eastAsia="ko-KR"/>
        </w:rPr>
        <w:t xml:space="preserve"> the following options for the TCI state</w:t>
      </w:r>
      <w:r w:rsidR="00B46EC0">
        <w:rPr>
          <w:b/>
          <w:i/>
          <w:lang w:val="en-GB" w:eastAsia="ko-KR"/>
        </w:rPr>
        <w:t xml:space="preserve"> indication</w:t>
      </w:r>
      <w:r w:rsidRPr="0092026F">
        <w:rPr>
          <w:b/>
          <w:i/>
          <w:lang w:val="en-GB" w:eastAsia="ko-KR"/>
        </w:rPr>
        <w:t>:</w:t>
      </w:r>
    </w:p>
    <w:p w14:paraId="357D2163" w14:textId="7EA15AAE" w:rsidR="0092026F" w:rsidRPr="0092026F" w:rsidRDefault="0092026F" w:rsidP="0092026F">
      <w:pPr>
        <w:pStyle w:val="ListParagraph"/>
        <w:numPr>
          <w:ilvl w:val="0"/>
          <w:numId w:val="43"/>
        </w:numPr>
        <w:rPr>
          <w:b/>
          <w:i/>
          <w:lang w:val="en-GB" w:eastAsia="ko-KR"/>
        </w:rPr>
      </w:pPr>
      <w:r w:rsidRPr="0092026F">
        <w:rPr>
          <w:b/>
          <w:i/>
          <w:lang w:val="en-GB" w:eastAsia="ko-KR"/>
        </w:rPr>
        <w:t xml:space="preserve">The CORESETs associated with CSS set </w:t>
      </w:r>
      <w:r w:rsidR="00B46EC0">
        <w:rPr>
          <w:b/>
          <w:i/>
          <w:lang w:val="en-GB" w:eastAsia="ko-KR"/>
        </w:rPr>
        <w:t>other than Type</w:t>
      </w:r>
      <w:r w:rsidRPr="0092026F">
        <w:rPr>
          <w:b/>
          <w:i/>
          <w:lang w:val="en-GB" w:eastAsia="ko-KR"/>
        </w:rPr>
        <w:t>3</w:t>
      </w:r>
      <w:r w:rsidR="00B46EC0">
        <w:rPr>
          <w:b/>
          <w:i/>
          <w:lang w:val="en-GB" w:eastAsia="ko-KR"/>
        </w:rPr>
        <w:t>-PDCCH</w:t>
      </w:r>
      <w:r w:rsidRPr="0092026F">
        <w:rPr>
          <w:b/>
          <w:i/>
          <w:lang w:val="en-GB" w:eastAsia="ko-KR"/>
        </w:rPr>
        <w:t xml:space="preserve"> CSS set follo</w:t>
      </w:r>
      <w:r>
        <w:rPr>
          <w:b/>
          <w:i/>
          <w:lang w:val="en-GB" w:eastAsia="ko-KR"/>
        </w:rPr>
        <w:t>w the unified TCI state of the t</w:t>
      </w:r>
      <w:r w:rsidRPr="0092026F">
        <w:rPr>
          <w:b/>
          <w:i/>
          <w:lang w:val="en-GB" w:eastAsia="ko-KR"/>
        </w:rPr>
        <w:t>arget cell until configured a new TCI state.</w:t>
      </w:r>
    </w:p>
    <w:p w14:paraId="1C76B220" w14:textId="558FAB97" w:rsidR="0092026F" w:rsidRPr="0092026F" w:rsidRDefault="0092026F" w:rsidP="0092026F">
      <w:pPr>
        <w:pStyle w:val="ListParagraph"/>
        <w:numPr>
          <w:ilvl w:val="0"/>
          <w:numId w:val="43"/>
        </w:numPr>
        <w:rPr>
          <w:b/>
          <w:i/>
          <w:lang w:val="en-GB" w:eastAsia="ko-KR"/>
        </w:rPr>
      </w:pPr>
      <w:r w:rsidRPr="0092026F">
        <w:rPr>
          <w:b/>
          <w:i/>
          <w:lang w:val="en-GB" w:eastAsia="ko-KR"/>
        </w:rPr>
        <w:t>An additional TCI state is signalled in the cell switch command for the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w:t>
      </w:r>
    </w:p>
    <w:p w14:paraId="1E49178C" w14:textId="126F2EFD" w:rsidR="00F714A1" w:rsidRDefault="00F714A1" w:rsidP="00F94D03">
      <w:pPr>
        <w:rPr>
          <w:lang w:val="en-GB" w:eastAsia="ko-KR"/>
        </w:rPr>
      </w:pPr>
    </w:p>
    <w:p w14:paraId="760F92A3" w14:textId="6C7B9155" w:rsidR="00480079" w:rsidRDefault="00F714A1" w:rsidP="00F94D03">
      <w:pPr>
        <w:rPr>
          <w:lang w:val="en-GB" w:eastAsia="ko-KR"/>
        </w:rPr>
      </w:pPr>
      <w:r>
        <w:rPr>
          <w:lang w:val="en-GB" w:eastAsia="ko-KR"/>
        </w:rPr>
        <w:t xml:space="preserve">In RAN1#112b-e, it was agreed to activate the TCI states corresponding to the </w:t>
      </w:r>
      <w:r w:rsidR="00AF6193">
        <w:rPr>
          <w:lang w:val="en-GB" w:eastAsia="ko-KR"/>
        </w:rPr>
        <w:t>target</w:t>
      </w:r>
      <w:r>
        <w:rPr>
          <w:lang w:val="en-GB" w:eastAsia="ko-KR"/>
        </w:rPr>
        <w:t xml:space="preserve"> cell before the cell switch command (CSC). To activate the TCI states would require TCI states that have a </w:t>
      </w:r>
      <w:r w:rsidR="00480079">
        <w:rPr>
          <w:lang w:val="en-GB" w:eastAsia="ko-KR"/>
        </w:rPr>
        <w:t>source RS from the target cell. In RAN1#113, the following was agreed:</w:t>
      </w:r>
    </w:p>
    <w:p w14:paraId="7BE53E12" w14:textId="63A93AC9" w:rsidR="00480079" w:rsidRDefault="00480079" w:rsidP="00F94D03">
      <w:pPr>
        <w:rPr>
          <w:lang w:val="en-GB" w:eastAsia="ko-KR"/>
        </w:rPr>
      </w:pPr>
      <w:r>
        <w:rPr>
          <w:noProof/>
        </w:rPr>
        <mc:AlternateContent>
          <mc:Choice Requires="wps">
            <w:drawing>
              <wp:anchor distT="0" distB="0" distL="114300" distR="114300" simplePos="0" relativeHeight="251712512" behindDoc="0" locked="0" layoutInCell="1" allowOverlap="1" wp14:anchorId="6E411CB0" wp14:editId="0C210FE6">
                <wp:simplePos x="0" y="0"/>
                <wp:positionH relativeFrom="column">
                  <wp:posOffset>0</wp:posOffset>
                </wp:positionH>
                <wp:positionV relativeFrom="paragraph">
                  <wp:posOffset>0</wp:posOffset>
                </wp:positionV>
                <wp:extent cx="1828800" cy="1828800"/>
                <wp:effectExtent l="0" t="0" r="24765" b="228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48C63C9" w14:textId="77777777" w:rsidR="00480079" w:rsidRPr="00FE28B8" w:rsidRDefault="00480079" w:rsidP="00480079">
                            <w:pPr>
                              <w:rPr>
                                <w:highlight w:val="green"/>
                              </w:rPr>
                            </w:pPr>
                            <w:r w:rsidRPr="00FE28B8">
                              <w:rPr>
                                <w:highlight w:val="green"/>
                              </w:rPr>
                              <w:t>Agreement</w:t>
                            </w:r>
                          </w:p>
                          <w:p w14:paraId="78DD0D61" w14:textId="77777777" w:rsidR="00480079" w:rsidRPr="00402006" w:rsidRDefault="00480079" w:rsidP="00480079">
                            <w:pPr>
                              <w:pStyle w:val="ListParagraph"/>
                              <w:numPr>
                                <w:ilvl w:val="1"/>
                                <w:numId w:val="27"/>
                              </w:numPr>
                              <w:snapToGrid w:val="0"/>
                              <w:spacing w:after="100" w:afterAutospacing="1"/>
                              <w:ind w:left="709" w:hanging="289"/>
                              <w:contextualSpacing w:val="0"/>
                              <w:jc w:val="both"/>
                            </w:pPr>
                            <w:r w:rsidRPr="00402006">
                              <w:t>Each TCI state included up to 2 qcl-types and each qcl-type source RS in a QCL-Info of the TCI state is provided at least based on the RS configuration for LTM</w:t>
                            </w:r>
                          </w:p>
                          <w:p w14:paraId="535729A3" w14:textId="77777777" w:rsidR="00480079" w:rsidRDefault="00480079" w:rsidP="00480079">
                            <w:pPr>
                              <w:pStyle w:val="ListParagraph"/>
                              <w:numPr>
                                <w:ilvl w:val="2"/>
                                <w:numId w:val="27"/>
                              </w:numPr>
                              <w:snapToGrid w:val="0"/>
                              <w:spacing w:after="100" w:afterAutospacing="1"/>
                              <w:contextualSpacing w:val="0"/>
                              <w:jc w:val="both"/>
                            </w:pPr>
                            <w:r w:rsidRPr="00402006">
                              <w:t>FFS: other RS index outside measurement RS configuration for LTM</w:t>
                            </w:r>
                          </w:p>
                          <w:p w14:paraId="51E54587" w14:textId="77777777" w:rsidR="00480079" w:rsidRPr="00205F4D" w:rsidRDefault="00480079" w:rsidP="00205F4D">
                            <w:pPr>
                              <w:pStyle w:val="ListParagraph"/>
                              <w:numPr>
                                <w:ilvl w:val="2"/>
                                <w:numId w:val="27"/>
                              </w:numPr>
                              <w:snapToGrid w:val="0"/>
                              <w:spacing w:after="100" w:afterAutospacing="1"/>
                              <w:jc w:val="both"/>
                            </w:pPr>
                            <w:r w:rsidRPr="00402006">
                              <w:t xml:space="preserve">FFS: </w:t>
                            </w:r>
                            <w:r>
                              <w:t>Additional contents of TCI states for LTM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411CB0" id="Text Box 13" o:spid="_x0000_s1031" type="#_x0000_t202" style="position:absolute;margin-left:0;margin-top:0;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NFWgIAAM0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0vM7pQz&#10;IxrM6FF1gX2hjsEEflrrZwhbWQSGDnbEDnYPY2y7q1wTf9EQgx9MP7+wG9Fk/Gg6nk5zuCR8gwL8&#10;7Pi5dT58VdSwKBTcYXyJVbG/9aEPHUJiNk+6Lpe11kmJK6OutWN7gWGvN6P0qd4136nsbReTHPl7&#10;nLRhMTwV8AZJG9YW/Px0kieEN76Y/phDC/lzwDvWgoa0AWwkricoSqFbd4noyUDemspncOqo30pv&#10;5bIG/K3w4UE4rCG4wmmFezyVJtREB4mzLblff7PHeGwHvJy1WOuCG9wdZ/qbwdZcjM7O4hUk5Wzy&#10;eQ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HLoNFWgIAAM0EAAAOAAAAAAAAAAAAAAAAAC4CAABkcnMvZTJvRG9jLnhtbFBLAQIt&#10;ABQABgAIAAAAIQA2VE8B2QAAAAUBAAAPAAAAAAAAAAAAAAAAALQEAABkcnMvZG93bnJldi54bWxQ&#10;SwUGAAAAAAQABADzAAAAugUAAAAA&#10;" fillcolor="#f2f2f2 [3052]" strokeweight=".5pt">
                <v:textbox style="mso-fit-shape-to-text:t">
                  <w:txbxContent>
                    <w:p w14:paraId="648C63C9" w14:textId="77777777" w:rsidR="00480079" w:rsidRPr="00FE28B8" w:rsidRDefault="00480079" w:rsidP="00480079">
                      <w:pPr>
                        <w:rPr>
                          <w:highlight w:val="green"/>
                        </w:rPr>
                      </w:pPr>
                      <w:r w:rsidRPr="00FE28B8">
                        <w:rPr>
                          <w:highlight w:val="green"/>
                        </w:rPr>
                        <w:t>Agreement</w:t>
                      </w:r>
                    </w:p>
                    <w:p w14:paraId="78DD0D61" w14:textId="77777777" w:rsidR="00480079" w:rsidRPr="00402006" w:rsidRDefault="00480079" w:rsidP="00480079">
                      <w:pPr>
                        <w:pStyle w:val="ListParagraph"/>
                        <w:numPr>
                          <w:ilvl w:val="1"/>
                          <w:numId w:val="27"/>
                        </w:numPr>
                        <w:snapToGrid w:val="0"/>
                        <w:spacing w:after="100" w:afterAutospacing="1"/>
                        <w:ind w:left="709" w:hanging="289"/>
                        <w:contextualSpacing w:val="0"/>
                        <w:jc w:val="both"/>
                      </w:pPr>
                      <w:r w:rsidRPr="00402006">
                        <w:t>Each TCI state included up to 2 qcl-types and each qcl-type source RS in a QCL-Info of the TCI state is provided at least based on the RS configuration for LTM</w:t>
                      </w:r>
                    </w:p>
                    <w:p w14:paraId="535729A3" w14:textId="77777777" w:rsidR="00480079" w:rsidRDefault="00480079" w:rsidP="00480079">
                      <w:pPr>
                        <w:pStyle w:val="ListParagraph"/>
                        <w:numPr>
                          <w:ilvl w:val="2"/>
                          <w:numId w:val="27"/>
                        </w:numPr>
                        <w:snapToGrid w:val="0"/>
                        <w:spacing w:after="100" w:afterAutospacing="1"/>
                        <w:contextualSpacing w:val="0"/>
                        <w:jc w:val="both"/>
                      </w:pPr>
                      <w:r w:rsidRPr="00402006">
                        <w:t>FFS: other RS index outside measurement RS configuration for LTM</w:t>
                      </w:r>
                    </w:p>
                    <w:p w14:paraId="51E54587" w14:textId="77777777" w:rsidR="00480079" w:rsidRPr="00205F4D" w:rsidRDefault="00480079" w:rsidP="00205F4D">
                      <w:pPr>
                        <w:pStyle w:val="ListParagraph"/>
                        <w:numPr>
                          <w:ilvl w:val="2"/>
                          <w:numId w:val="27"/>
                        </w:numPr>
                        <w:snapToGrid w:val="0"/>
                        <w:spacing w:after="100" w:afterAutospacing="1"/>
                        <w:jc w:val="both"/>
                      </w:pPr>
                      <w:r w:rsidRPr="00402006">
                        <w:t xml:space="preserve">FFS: </w:t>
                      </w:r>
                      <w:r>
                        <w:t>Additional contents of TCI states for LTM</w:t>
                      </w:r>
                    </w:p>
                  </w:txbxContent>
                </v:textbox>
                <w10:wrap type="square"/>
              </v:shape>
            </w:pict>
          </mc:Fallback>
        </mc:AlternateContent>
      </w:r>
    </w:p>
    <w:p w14:paraId="4E6A6A9D" w14:textId="76303934" w:rsidR="00F714A1" w:rsidRDefault="00480079" w:rsidP="00F94D03">
      <w:pPr>
        <w:rPr>
          <w:lang w:val="en-GB" w:eastAsia="ko-KR"/>
        </w:rPr>
      </w:pPr>
      <w:r>
        <w:rPr>
          <w:lang w:val="en-GB" w:eastAsia="ko-KR"/>
        </w:rPr>
        <w:t>An open point in this agreement is “</w:t>
      </w:r>
      <w:r w:rsidRPr="00402006">
        <w:t>other RS index outside measurement RS configuration for LTM</w:t>
      </w:r>
      <w:r>
        <w:rPr>
          <w:lang w:val="en-GB" w:eastAsia="ko-KR"/>
        </w:rPr>
        <w:t xml:space="preserve">”. In addition to the </w:t>
      </w:r>
      <w:r w:rsidRPr="00402006">
        <w:t>RS configuration for LTM</w:t>
      </w:r>
      <w:r>
        <w:rPr>
          <w:lang w:val="en-GB" w:eastAsia="ko-KR"/>
        </w:rPr>
        <w:t>, t</w:t>
      </w:r>
      <w:r w:rsidR="00F714A1">
        <w:rPr>
          <w:lang w:val="en-GB" w:eastAsia="ko-KR"/>
        </w:rPr>
        <w:t>he serving cell has a list of DL/Joint TCI states provided by “</w:t>
      </w:r>
      <w:r w:rsidR="00F714A1" w:rsidRPr="00F714A1">
        <w:rPr>
          <w:i/>
          <w:lang w:val="en-GB" w:eastAsia="ko-KR"/>
        </w:rPr>
        <w:t>dl-OrJoint-TCIStateList</w:t>
      </w:r>
      <w:r w:rsidR="00F714A1">
        <w:rPr>
          <w:lang w:val="en-GB" w:eastAsia="ko-KR"/>
        </w:rPr>
        <w:t xml:space="preserve">” and a list of UL TCI states provided by </w:t>
      </w:r>
      <w:r w:rsidR="00F72DC3">
        <w:rPr>
          <w:lang w:val="en-GB" w:eastAsia="ko-KR"/>
        </w:rPr>
        <w:t>“</w:t>
      </w:r>
      <w:r w:rsidR="00F72DC3" w:rsidRPr="00F72DC3">
        <w:rPr>
          <w:lang w:val="en-GB" w:eastAsia="ko-KR"/>
        </w:rPr>
        <w:t>ul-TCI-StateList</w:t>
      </w:r>
      <w:r w:rsidR="00F72DC3">
        <w:rPr>
          <w:lang w:val="en-GB" w:eastAsia="ko-KR"/>
        </w:rPr>
        <w:t>”. Each list can be configured to include TCI states associated with a source RS of the target cell. This is similar to the framework used for ICBM.</w:t>
      </w:r>
    </w:p>
    <w:p w14:paraId="1ACFBAA7" w14:textId="195226AC" w:rsidR="00F72DC3" w:rsidRDefault="00F72DC3" w:rsidP="00F94D03">
      <w:pPr>
        <w:rPr>
          <w:lang w:val="en-GB" w:eastAsia="ko-KR"/>
        </w:rPr>
      </w:pPr>
      <w:r w:rsidRPr="00F72DC3">
        <w:rPr>
          <w:b/>
          <w:i/>
          <w:lang w:val="en-GB" w:eastAsia="ko-KR"/>
        </w:rPr>
        <w:t xml:space="preserve">Proposal </w:t>
      </w:r>
      <w:r w:rsidR="00AF6193">
        <w:rPr>
          <w:b/>
          <w:i/>
          <w:lang w:val="en-GB" w:eastAsia="ko-KR"/>
        </w:rPr>
        <w:t>6</w:t>
      </w:r>
      <w:r w:rsidRPr="00F72DC3">
        <w:rPr>
          <w:b/>
          <w:i/>
          <w:lang w:val="en-GB" w:eastAsia="ko-KR"/>
        </w:rPr>
        <w:t>: For</w:t>
      </w:r>
      <w:r w:rsidRPr="00CE7EEA">
        <w:rPr>
          <w:b/>
          <w:i/>
          <w:lang w:val="en-GB" w:eastAsia="ko-KR"/>
        </w:rPr>
        <w:t xml:space="preserve"> beam indication for L1/L2 mobility</w:t>
      </w:r>
      <w:r>
        <w:rPr>
          <w:b/>
          <w:i/>
          <w:lang w:val="en-GB" w:eastAsia="ko-KR"/>
        </w:rPr>
        <w:t xml:space="preserve">, the </w:t>
      </w:r>
      <w:r w:rsidRPr="00F72DC3">
        <w:rPr>
          <w:b/>
          <w:i/>
          <w:lang w:val="en-GB" w:eastAsia="ko-KR"/>
        </w:rPr>
        <w:t>dl-OrJoint-TCIStateList</w:t>
      </w:r>
      <w:r>
        <w:rPr>
          <w:b/>
          <w:i/>
          <w:lang w:val="en-GB" w:eastAsia="ko-KR"/>
        </w:rPr>
        <w:t xml:space="preserve"> and </w:t>
      </w:r>
      <w:r w:rsidRPr="00F72DC3">
        <w:rPr>
          <w:b/>
          <w:i/>
          <w:lang w:val="en-GB" w:eastAsia="ko-KR"/>
        </w:rPr>
        <w:t>ul-TCI-StateList</w:t>
      </w:r>
      <w:r>
        <w:rPr>
          <w:b/>
          <w:i/>
          <w:lang w:val="en-GB" w:eastAsia="ko-KR"/>
        </w:rPr>
        <w:t xml:space="preserve"> are configured with TCI states having a source RS associated with the target cell.</w:t>
      </w:r>
    </w:p>
    <w:p w14:paraId="70F736ED" w14:textId="0D63E12D" w:rsidR="003F4DF3" w:rsidRDefault="003F4DF3" w:rsidP="00F94D03">
      <w:pPr>
        <w:rPr>
          <w:lang w:val="en-GB" w:eastAsia="ko-KR"/>
        </w:rPr>
      </w:pPr>
      <w:r>
        <w:rPr>
          <w:lang w:val="en-GB" w:eastAsia="ko-KR"/>
        </w:rPr>
        <w:t xml:space="preserve">To reduce any interruption caused by cell switch, the indication of a TCI state associated with a cell (e.g., </w:t>
      </w:r>
      <w:r w:rsidRPr="003F4DF3">
        <w:rPr>
          <w:lang w:val="en-GB" w:eastAsia="ko-KR"/>
        </w:rPr>
        <w:t>target serving cell</w:t>
      </w:r>
      <w:r>
        <w:rPr>
          <w:lang w:val="en-GB" w:eastAsia="ko-KR"/>
        </w:rPr>
        <w:t xml:space="preserve">) </w:t>
      </w:r>
      <w:r w:rsidRPr="003F4DF3">
        <w:rPr>
          <w:lang w:val="en-GB" w:eastAsia="ko-KR"/>
        </w:rPr>
        <w:t>having a PCI different from the PCI of the serving cell</w:t>
      </w:r>
      <w:r>
        <w:rPr>
          <w:lang w:val="en-GB" w:eastAsia="ko-KR"/>
        </w:rPr>
        <w:t xml:space="preserve"> can trigger:</w:t>
      </w:r>
    </w:p>
    <w:p w14:paraId="6BFD4930" w14:textId="11F7917E" w:rsidR="003F4DF3" w:rsidRDefault="003F4DF3" w:rsidP="003F4DF3">
      <w:pPr>
        <w:pStyle w:val="ListParagraph"/>
        <w:numPr>
          <w:ilvl w:val="0"/>
          <w:numId w:val="25"/>
        </w:numPr>
        <w:rPr>
          <w:lang w:val="en-GB" w:eastAsia="ko-KR"/>
        </w:rPr>
      </w:pPr>
      <w:r>
        <w:rPr>
          <w:lang w:val="en-GB" w:eastAsia="ko-KR"/>
        </w:rPr>
        <w:t>AP CSI-RS resource on the target serving cell followed by a AP CSI measurement report. The AP CSI measurement report provides more refined beam measurements for the target serving cell.</w:t>
      </w:r>
    </w:p>
    <w:p w14:paraId="2C4348D3" w14:textId="54ADFEA6" w:rsidR="003F4DF3" w:rsidRDefault="003F4DF3" w:rsidP="003F4DF3">
      <w:pPr>
        <w:pStyle w:val="ListParagraph"/>
        <w:numPr>
          <w:ilvl w:val="0"/>
          <w:numId w:val="25"/>
        </w:numPr>
        <w:rPr>
          <w:lang w:val="en-GB" w:eastAsia="ko-KR"/>
        </w:rPr>
      </w:pPr>
      <w:r>
        <w:rPr>
          <w:lang w:val="en-GB" w:eastAsia="ko-KR"/>
        </w:rPr>
        <w:t xml:space="preserve">AP-SRS resource to the target serving cell. The AP-SRS resource to the target serving cell </w:t>
      </w:r>
      <w:r w:rsidR="00D577DF">
        <w:rPr>
          <w:lang w:val="en-GB" w:eastAsia="ko-KR"/>
        </w:rPr>
        <w:t xml:space="preserve">allows the network to have </w:t>
      </w:r>
      <w:r>
        <w:rPr>
          <w:lang w:val="en-GB" w:eastAsia="ko-KR"/>
        </w:rPr>
        <w:t>more refined beam measurement</w:t>
      </w:r>
      <w:r w:rsidR="00D577DF">
        <w:rPr>
          <w:lang w:val="en-GB" w:eastAsia="ko-KR"/>
        </w:rPr>
        <w:t>s</w:t>
      </w:r>
      <w:r>
        <w:rPr>
          <w:lang w:val="en-GB" w:eastAsia="ko-KR"/>
        </w:rPr>
        <w:t xml:space="preserve"> for the target serving cell</w:t>
      </w:r>
    </w:p>
    <w:p w14:paraId="5A2CC65B" w14:textId="30A5E431" w:rsidR="003F4DF3" w:rsidRPr="00CE7EEA" w:rsidRDefault="00D577DF" w:rsidP="003F4DF3">
      <w:pPr>
        <w:rPr>
          <w:b/>
          <w:i/>
          <w:lang w:val="en-GB" w:eastAsia="ko-KR"/>
        </w:rPr>
      </w:pPr>
      <w:r w:rsidRPr="00CE7EEA">
        <w:rPr>
          <w:b/>
          <w:i/>
          <w:lang w:val="en-GB" w:eastAsia="ko-KR"/>
        </w:rPr>
        <w:t xml:space="preserve">Proposal </w:t>
      </w:r>
      <w:r w:rsidR="00AF6193">
        <w:rPr>
          <w:b/>
          <w:i/>
          <w:lang w:val="en-GB" w:eastAsia="ko-KR"/>
        </w:rPr>
        <w:t>7</w:t>
      </w:r>
      <w:r w:rsidRPr="00CE7EEA">
        <w:rPr>
          <w:b/>
          <w:i/>
          <w:lang w:val="en-GB" w:eastAsia="ko-KR"/>
        </w:rPr>
        <w:t>: For beam indication for L1/L2 mobility, an indicated TCI state on the target serving cell can trigger</w:t>
      </w:r>
    </w:p>
    <w:p w14:paraId="36E7DF83" w14:textId="30189E31" w:rsidR="00D577DF" w:rsidRPr="00CE7EEA" w:rsidRDefault="00D577DF" w:rsidP="00D577DF">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3B79965E" w14:textId="208EC267" w:rsidR="00D577DF" w:rsidRPr="00CE7EEA" w:rsidRDefault="00D577DF" w:rsidP="00D577DF">
      <w:pPr>
        <w:pStyle w:val="ListParagraph"/>
        <w:numPr>
          <w:ilvl w:val="0"/>
          <w:numId w:val="25"/>
        </w:numPr>
        <w:rPr>
          <w:b/>
          <w:i/>
          <w:lang w:val="en-GB" w:eastAsia="ko-KR"/>
        </w:rPr>
      </w:pPr>
      <w:r w:rsidRPr="00CE7EEA">
        <w:rPr>
          <w:b/>
          <w:i/>
          <w:lang w:val="en-GB" w:eastAsia="ko-KR"/>
        </w:rPr>
        <w:t>AP-SRS resource to the target serving cell.</w:t>
      </w:r>
    </w:p>
    <w:p w14:paraId="27FADF41" w14:textId="16AD9ECE" w:rsidR="00521527" w:rsidRDefault="00521527" w:rsidP="00521527">
      <w:pPr>
        <w:pStyle w:val="Heading2"/>
        <w:rPr>
          <w:lang w:eastAsia="ko-KR"/>
        </w:rPr>
      </w:pPr>
      <w:r>
        <w:rPr>
          <w:lang w:eastAsia="ko-KR"/>
        </w:rPr>
        <w:lastRenderedPageBreak/>
        <w:t>Dynamic cell switch</w:t>
      </w:r>
    </w:p>
    <w:p w14:paraId="30146C80" w14:textId="11BFD90D" w:rsidR="005D4D45" w:rsidRDefault="005D4D45" w:rsidP="00D577DF">
      <w:pPr>
        <w:rPr>
          <w:lang w:val="en-GB" w:eastAsia="ko-KR"/>
        </w:rPr>
      </w:pPr>
      <w:r>
        <w:rPr>
          <w:lang w:val="en-GB" w:eastAsia="ko-KR"/>
        </w:rPr>
        <w:t>In RAN1#111</w:t>
      </w:r>
      <w:r w:rsidR="00D577DF">
        <w:rPr>
          <w:lang w:val="en-GB" w:eastAsia="ko-KR"/>
        </w:rPr>
        <w:t>, the following agreement was made:</w:t>
      </w:r>
      <w:r>
        <w:rPr>
          <w:noProof/>
        </w:rPr>
        <mc:AlternateContent>
          <mc:Choice Requires="wps">
            <w:drawing>
              <wp:anchor distT="0" distB="0" distL="114300" distR="114300" simplePos="0" relativeHeight="251692032" behindDoc="0" locked="0" layoutInCell="1" allowOverlap="1" wp14:anchorId="7A50B0FA" wp14:editId="36A6F793">
                <wp:simplePos x="0" y="0"/>
                <wp:positionH relativeFrom="margin">
                  <wp:align>left</wp:align>
                </wp:positionH>
                <wp:positionV relativeFrom="paragraph">
                  <wp:posOffset>262255</wp:posOffset>
                </wp:positionV>
                <wp:extent cx="6158230" cy="1828800"/>
                <wp:effectExtent l="0" t="0" r="1397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6158230" cy="1828800"/>
                        </a:xfrm>
                        <a:prstGeom prst="rect">
                          <a:avLst/>
                        </a:prstGeom>
                        <a:solidFill>
                          <a:schemeClr val="bg1">
                            <a:lumMod val="95000"/>
                          </a:schemeClr>
                        </a:solidFill>
                        <a:ln w="6350">
                          <a:solidFill>
                            <a:prstClr val="black"/>
                          </a:solidFill>
                        </a:ln>
                      </wps:spPr>
                      <wps:txbx>
                        <w:txbxContent>
                          <w:p w14:paraId="42739D89" w14:textId="77777777" w:rsidR="005D4D45" w:rsidRPr="004E433E" w:rsidRDefault="005D4D45" w:rsidP="005D4D45">
                            <w:pPr>
                              <w:rPr>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50B0FA" id="Text Box 16" o:spid="_x0000_s1032" type="#_x0000_t202" style="position:absolute;margin-left:0;margin-top:20.65pt;width:484.9pt;height:2in;z-index:2516920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QeNYAIAAM8EAAAOAAAAZHJzL2Uyb0RvYy54bWysVE1v2zAMvQ/YfxB0X22nTZcGdYqsQ4YB&#10;XVugHXpWZDkxJouapMTufv2e5CRNu52GXRR++ZF8JHN51beabZXzDZmSFyc5Z8pIqhqzKvn3x8WH&#10;CWc+CFMJTUaV/Fl5fjV7/+6ys1M1ojXpSjkGEOOnnS35OgQ7zTIv16oV/oSsMnDW5FoRoLpVVjnR&#10;Ab3V2SjPz7OOXGUdSeU9rJ8HJ58l/LpWMtzVtVeB6ZKjtpBel95lfLPZpZiunLDrRu7KEP9QRSsa&#10;g6QHqM8iCLZxzR9QbSMdearDiaQ2o7pupEo9oJsif9PNw1pYlXoBOd4eaPL/D1bebu8dayrM7pwz&#10;I1rM6FH1gX2insEEfjrrpwh7sAgMPeyI3ds9jLHtvnZt/EVDDH4w/XxgN6JJGM+L8WR0CpeEr5iM&#10;JpM88Z+9fG6dD18UtSwKJXcYX2JVbG98QCkI3YfEbJ50Uy0arZMSV0Zda8e2AsNeror0qd6036ga&#10;bBfj/JAybVgMT6ivkLRhHco9HecJ4ZUvpn/JoYX8EalAXUdR0LSBMRI3EBSl0C/7RPSB1CVVz+DU&#10;0bCV3spFA/gb4cO9cFhDcIXTCnd4ak2oiXYSZ2tyv/5mj/HYDng567DWJfc/N8IpzvRXg725KM7O&#10;4h0k5Wz8cQTFHXuWxx6zaa8JZBY4YiuTGOOD3ou1o/YJFziPWeESRiJ3ycNevA7DseGCpZrPUxA2&#10;34pwYx6sjNBxeJHWx/5JOLsbfcDW3NL+AMT0zQYMsWnsdr4JtGjSekSeB1Z39ONq0nR2Fx7P8lhP&#10;US//Q7PfAAAA//8DAFBLAwQUAAYACAAAACEA+VjjoN0AAAAHAQAADwAAAGRycy9kb3ducmV2Lnht&#10;bEyPMU/DMBSEdyT+g/UqsVGnDYqaEKeqEGxloC0Dmxs/4qjxcxS7SfrveUwwnu509125nV0nRhxC&#10;60nBapmAQKq9aalRcDq+PW5AhKjJ6M4TKrhhgG11f1fqwviJPnA8xEZwCYVCK7Ax9oWUobbodFj6&#10;Hom9bz84HVkOjTSDnrjcdXKdJJl0uiVesLrHF4v15XB1Cvbv+6/XuY92ynf+MxuPyU1nJ6UeFvPu&#10;GUTEOf6F4Ref0aFiprO/kgmiU8BHooKnVQqC3TzL+chZQbrOU5BVKf/zVz8AAAD//wMAUEsBAi0A&#10;FAAGAAgAAAAhALaDOJL+AAAA4QEAABMAAAAAAAAAAAAAAAAAAAAAAFtDb250ZW50X1R5cGVzXS54&#10;bWxQSwECLQAUAAYACAAAACEAOP0h/9YAAACUAQAACwAAAAAAAAAAAAAAAAAvAQAAX3JlbHMvLnJl&#10;bHNQSwECLQAUAAYACAAAACEAneUHjWACAADPBAAADgAAAAAAAAAAAAAAAAAuAgAAZHJzL2Uyb0Rv&#10;Yy54bWxQSwECLQAUAAYACAAAACEA+VjjoN0AAAAHAQAADwAAAAAAAAAAAAAAAAC6BAAAZHJzL2Rv&#10;d25yZXYueG1sUEsFBgAAAAAEAAQA8wAAAMQFAAAAAA==&#10;" fillcolor="#f2f2f2 [3052]" strokeweight=".5pt">
                <v:textbox style="mso-fit-shape-to-text:t">
                  <w:txbxContent>
                    <w:p w14:paraId="42739D89" w14:textId="77777777" w:rsidR="005D4D45" w:rsidRPr="004E433E" w:rsidRDefault="005D4D45" w:rsidP="005D4D45">
                      <w:pPr>
                        <w:rPr>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v:textbox>
                <w10:wrap type="square" anchorx="margin"/>
              </v:shape>
            </w:pict>
          </mc:Fallback>
        </mc:AlternateContent>
      </w:r>
    </w:p>
    <w:p w14:paraId="603B2F61" w14:textId="51C0EB77" w:rsidR="005D4D45" w:rsidRDefault="005D4D45" w:rsidP="00D577DF">
      <w:pPr>
        <w:rPr>
          <w:lang w:val="en-GB" w:eastAsia="ko-KR"/>
        </w:rPr>
      </w:pPr>
    </w:p>
    <w:p w14:paraId="1B785E04" w14:textId="324B1D99" w:rsidR="00D577DF" w:rsidRDefault="00D577DF" w:rsidP="00521527">
      <w:pPr>
        <w:rPr>
          <w:lang w:val="en-GB" w:eastAsia="ko-KR"/>
        </w:rPr>
      </w:pPr>
      <w:r>
        <w:rPr>
          <w:lang w:val="en-GB" w:eastAsia="ko-KR"/>
        </w:rPr>
        <w:t>There are three scenarios for indicating the TCI state of the target cell relative to the time of the cell switch command:</w:t>
      </w:r>
    </w:p>
    <w:p w14:paraId="5B8DF974" w14:textId="30EE4FD5" w:rsidR="00D577DF" w:rsidRDefault="00E1159E" w:rsidP="00D577DF">
      <w:pPr>
        <w:pStyle w:val="ListParagraph"/>
        <w:numPr>
          <w:ilvl w:val="0"/>
          <w:numId w:val="25"/>
        </w:numPr>
        <w:rPr>
          <w:lang w:val="en-GB" w:eastAsia="ko-KR"/>
        </w:rPr>
      </w:pPr>
      <w:r>
        <w:rPr>
          <w:lang w:val="en-GB" w:eastAsia="ko-KR"/>
        </w:rPr>
        <w:t>(Scenario 1</w:t>
      </w:r>
      <w:r w:rsidR="005D4D45">
        <w:rPr>
          <w:lang w:val="en-GB" w:eastAsia="ko-KR"/>
        </w:rPr>
        <w:t xml:space="preserve"> this is still FFS</w:t>
      </w:r>
      <w:r>
        <w:rPr>
          <w:lang w:val="en-GB" w:eastAsia="ko-KR"/>
        </w:rPr>
        <w:t xml:space="preserve">) </w:t>
      </w:r>
      <w:r w:rsidR="00D577DF">
        <w:rPr>
          <w:lang w:val="en-GB" w:eastAsia="ko-KR"/>
        </w:rPr>
        <w:t>The beam is indicated first to target cell; this is then followed by the cell switch command. There are two sub-scenarios for scenario:</w:t>
      </w:r>
    </w:p>
    <w:p w14:paraId="322A961E" w14:textId="4F47381E" w:rsidR="000E5C7E" w:rsidRDefault="00E1159E" w:rsidP="00521527">
      <w:pPr>
        <w:pStyle w:val="ListParagraph"/>
        <w:numPr>
          <w:ilvl w:val="1"/>
          <w:numId w:val="25"/>
        </w:numPr>
        <w:rPr>
          <w:lang w:val="en-GB" w:eastAsia="ko-KR"/>
        </w:rPr>
      </w:pPr>
      <w:r>
        <w:rPr>
          <w:lang w:val="en-GB" w:eastAsia="ko-KR"/>
        </w:rPr>
        <w:t xml:space="preserve">(Scenario 1.1) </w:t>
      </w:r>
      <w:r w:rsidR="000E5C7E">
        <w:rPr>
          <w:lang w:val="en-GB" w:eastAsia="ko-KR"/>
        </w:rPr>
        <w:t>The first sub-scenario is to have t</w:t>
      </w:r>
      <w:r w:rsidR="00D577DF">
        <w:rPr>
          <w:lang w:val="en-GB" w:eastAsia="ko-KR"/>
        </w:rPr>
        <w:t xml:space="preserve">he UE start communicating using the indicated TCI state with the target cell before the cell switch command. This would be the case of ICBM. </w:t>
      </w:r>
      <w:r w:rsidR="000E5C7E">
        <w:rPr>
          <w:lang w:val="en-GB" w:eastAsia="ko-KR"/>
        </w:rPr>
        <w:t xml:space="preserve">A cell switch command is then </w:t>
      </w:r>
      <w:r w:rsidR="001D78DA">
        <w:rPr>
          <w:lang w:val="en-GB" w:eastAsia="ko-KR"/>
        </w:rPr>
        <w:t>sent</w:t>
      </w:r>
      <w:r w:rsidR="000E5C7E">
        <w:rPr>
          <w:lang w:val="en-GB" w:eastAsia="ko-KR"/>
        </w:rPr>
        <w:t xml:space="preserve"> to complete the handover procedure. </w:t>
      </w:r>
      <w:r w:rsidR="0054679B" w:rsidRPr="000E5C7E">
        <w:rPr>
          <w:lang w:val="en-GB" w:eastAsia="ko-KR"/>
        </w:rPr>
        <w:t xml:space="preserve">The advantage of using ICBM beam management for L1/L2 mobility is to reduce latency, signalling overhead and interruption time. </w:t>
      </w:r>
      <w:r w:rsidR="00F72DC3">
        <w:rPr>
          <w:lang w:val="en-GB" w:eastAsia="ko-KR"/>
        </w:rPr>
        <w:t>We see LTM and ICBM as complimentary solutions, there supporting both of them is an important feature.</w:t>
      </w:r>
      <w:r w:rsidR="005B2781">
        <w:rPr>
          <w:lang w:val="en-GB" w:eastAsia="ko-KR"/>
        </w:rPr>
        <w:t xml:space="preserve"> A benefit of having the UE communicate with the target cell first using ICBM, before doing a cell switch using LTM is to minimize communication distribution between the UE and the network. In high mobility scenarios, the link to the source cell could degrade rapidly, making it plausible that the cell switch command from the source serving could be missed by the UE, hence switching beams to the target cell before cell switch and having the cell switch command come from the target cell could improve reliability and reduce disruption.</w:t>
      </w:r>
    </w:p>
    <w:p w14:paraId="5B5484A4" w14:textId="4421271C" w:rsidR="00F72DC3" w:rsidRPr="00F72DC3" w:rsidRDefault="00F72DC3" w:rsidP="00F72DC3">
      <w:pPr>
        <w:rPr>
          <w:lang w:val="en-GB" w:eastAsia="ko-KR"/>
        </w:rPr>
      </w:pPr>
      <w:r w:rsidRPr="00D01D94">
        <w:rPr>
          <w:b/>
          <w:i/>
          <w:lang w:val="en-GB"/>
        </w:rPr>
        <w:t xml:space="preserve">Proposal </w:t>
      </w:r>
      <w:r w:rsidR="00AF6193">
        <w:rPr>
          <w:b/>
          <w:i/>
          <w:lang w:val="en-GB"/>
        </w:rPr>
        <w:t>8</w:t>
      </w:r>
      <w:r w:rsidRPr="00D01D94">
        <w:rPr>
          <w:b/>
          <w:i/>
          <w:lang w:val="en-GB"/>
        </w:rPr>
        <w:t>:</w:t>
      </w:r>
      <w:r>
        <w:rPr>
          <w:lang w:val="en-GB"/>
        </w:rPr>
        <w:t xml:space="preserve"> </w:t>
      </w:r>
      <w:r>
        <w:rPr>
          <w:b/>
          <w:i/>
          <w:lang w:eastAsia="ko-KR"/>
        </w:rPr>
        <w:t>Rel-18 LTM and Rel-17 ICBM can operate together. A UE first uses a beam of the target cell, before switching to the target cell.</w:t>
      </w:r>
    </w:p>
    <w:p w14:paraId="5DA362A4" w14:textId="3DA18853" w:rsidR="000E5C7E" w:rsidRDefault="00E1159E" w:rsidP="000E5C7E">
      <w:pPr>
        <w:pStyle w:val="ListParagraph"/>
        <w:numPr>
          <w:ilvl w:val="1"/>
          <w:numId w:val="25"/>
        </w:numPr>
        <w:rPr>
          <w:lang w:val="en-GB" w:eastAsia="ko-KR"/>
        </w:rPr>
      </w:pPr>
      <w:r>
        <w:rPr>
          <w:lang w:val="en-GB" w:eastAsia="ko-KR"/>
        </w:rPr>
        <w:t xml:space="preserve">(Scenario 1.2) </w:t>
      </w:r>
      <w:r w:rsidR="000E5C7E">
        <w:rPr>
          <w:lang w:val="en-GB" w:eastAsia="ko-KR"/>
        </w:rPr>
        <w:t xml:space="preserve">The second sub-scenario is to have the UE not use the indicated TCI state (associated with the </w:t>
      </w:r>
      <w:r w:rsidR="004A1EC7">
        <w:rPr>
          <w:lang w:val="en-GB" w:eastAsia="ko-KR"/>
        </w:rPr>
        <w:t xml:space="preserve">target </w:t>
      </w:r>
      <w:r w:rsidR="000E5C7E">
        <w:rPr>
          <w:lang w:val="en-GB" w:eastAsia="ko-KR"/>
        </w:rPr>
        <w:t xml:space="preserve">serving cell) right away, but rather wait for the cell switch command. When the cell switch command is received the UE uses the indicated TCI state (associated with the </w:t>
      </w:r>
      <w:r w:rsidR="004A1EC7">
        <w:rPr>
          <w:lang w:val="en-GB" w:eastAsia="ko-KR"/>
        </w:rPr>
        <w:t xml:space="preserve">target </w:t>
      </w:r>
      <w:r w:rsidR="000E5C7E">
        <w:rPr>
          <w:lang w:val="en-GB" w:eastAsia="ko-KR"/>
        </w:rPr>
        <w:t>serving cell) and starts communicating with the target serving cell. This scenario can be applicable for example, in case of inter-frequency handover when the UE can’t communicate with the target cell before the cell switch command is received.</w:t>
      </w:r>
    </w:p>
    <w:p w14:paraId="2ECBDFB2" w14:textId="513A66BE" w:rsidR="000E5C7E" w:rsidRPr="006C233B" w:rsidRDefault="00E1159E" w:rsidP="006C233B">
      <w:pPr>
        <w:pStyle w:val="ListParagraph"/>
        <w:numPr>
          <w:ilvl w:val="0"/>
          <w:numId w:val="25"/>
        </w:numPr>
        <w:rPr>
          <w:lang w:val="en-GB" w:eastAsia="ko-KR"/>
        </w:rPr>
      </w:pPr>
      <w:r>
        <w:rPr>
          <w:lang w:val="en-GB" w:eastAsia="ko-KR"/>
        </w:rPr>
        <w:t>(Scenario 2</w:t>
      </w:r>
      <w:r w:rsidR="005D4D45">
        <w:rPr>
          <w:lang w:val="en-GB" w:eastAsia="ko-KR"/>
        </w:rPr>
        <w:t xml:space="preserve"> this has been agreed</w:t>
      </w:r>
      <w:r>
        <w:rPr>
          <w:lang w:val="en-GB" w:eastAsia="ko-KR"/>
        </w:rPr>
        <w:t xml:space="preserve">) </w:t>
      </w:r>
      <w:r w:rsidR="000E5C7E">
        <w:rPr>
          <w:lang w:val="en-GB" w:eastAsia="ko-KR"/>
        </w:rPr>
        <w:t>The beam is indicated to the target cell with the cell switch command. There are two sub-scenarios for scenario</w:t>
      </w:r>
      <w:r w:rsidR="006C233B">
        <w:rPr>
          <w:lang w:val="en-GB" w:eastAsia="ko-KR"/>
        </w:rPr>
        <w:t xml:space="preserve">. </w:t>
      </w:r>
      <w:r w:rsidR="000E5C7E" w:rsidRPr="006C233B">
        <w:rPr>
          <w:lang w:val="en-GB" w:eastAsia="ko-KR"/>
        </w:rPr>
        <w:t xml:space="preserve">The TCI state of the target serving cell </w:t>
      </w:r>
      <w:r w:rsidR="006C233B">
        <w:rPr>
          <w:lang w:val="en-GB" w:eastAsia="ko-KR"/>
        </w:rPr>
        <w:t>is</w:t>
      </w:r>
      <w:r w:rsidR="000E5C7E" w:rsidRPr="006C233B">
        <w:rPr>
          <w:lang w:val="en-GB" w:eastAsia="ko-KR"/>
        </w:rPr>
        <w:t xml:space="preserve"> included in the cell switch command.</w:t>
      </w:r>
    </w:p>
    <w:p w14:paraId="0A5787D5" w14:textId="3F987250" w:rsidR="00D577DF" w:rsidRPr="000E5C7E" w:rsidRDefault="006C233B" w:rsidP="000E5C7E">
      <w:pPr>
        <w:pStyle w:val="ListParagraph"/>
        <w:numPr>
          <w:ilvl w:val="1"/>
          <w:numId w:val="25"/>
        </w:numPr>
        <w:rPr>
          <w:lang w:val="en-GB" w:eastAsia="ko-KR"/>
        </w:rPr>
      </w:pPr>
      <w:r>
        <w:rPr>
          <w:lang w:val="en-GB" w:eastAsia="ko-KR"/>
        </w:rPr>
        <w:t>A variant of scenario 2,</w:t>
      </w:r>
      <w:r w:rsidR="00E1159E">
        <w:rPr>
          <w:lang w:val="en-GB" w:eastAsia="ko-KR"/>
        </w:rPr>
        <w:t xml:space="preserve"> </w:t>
      </w:r>
      <w:r w:rsidR="000E5C7E">
        <w:rPr>
          <w:lang w:val="en-GB" w:eastAsia="ko-KR"/>
        </w:rPr>
        <w:t>is to have the indicated TCI state o</w:t>
      </w:r>
      <w:r w:rsidR="0078738E">
        <w:rPr>
          <w:lang w:val="en-GB" w:eastAsia="ko-KR"/>
        </w:rPr>
        <w:t>f the target serving cell act as</w:t>
      </w:r>
      <w:r w:rsidR="000E5C7E">
        <w:rPr>
          <w:lang w:val="en-GB" w:eastAsia="ko-KR"/>
        </w:rPr>
        <w:t xml:space="preserve"> the cell switch command. </w:t>
      </w:r>
      <w:r w:rsidR="0054679B" w:rsidRPr="000E5C7E">
        <w:rPr>
          <w:lang w:val="en-GB" w:eastAsia="ko-KR"/>
        </w:rPr>
        <w:t>This can be achieved by having the beam indication, when the indicated TCI state is associated with a cell having a PCI different from the PCI of the serving cell</w:t>
      </w:r>
      <w:r w:rsidR="000E5C7E">
        <w:rPr>
          <w:lang w:val="en-GB" w:eastAsia="ko-KR"/>
        </w:rPr>
        <w:t xml:space="preserve"> (e.g., target serving cell)</w:t>
      </w:r>
      <w:r w:rsidR="0054679B" w:rsidRPr="000E5C7E">
        <w:rPr>
          <w:lang w:val="en-GB" w:eastAsia="ko-KR"/>
        </w:rPr>
        <w:t xml:space="preserve">, act as the trigger for cell switch. </w:t>
      </w:r>
    </w:p>
    <w:p w14:paraId="6E4FFADF" w14:textId="525170AC" w:rsidR="0054679B" w:rsidRPr="0054679B" w:rsidRDefault="0054679B" w:rsidP="00521527">
      <w:pPr>
        <w:rPr>
          <w:b/>
          <w:i/>
          <w:lang w:val="en-GB" w:eastAsia="ko-KR"/>
        </w:rPr>
      </w:pPr>
      <w:r w:rsidRPr="0054679B">
        <w:rPr>
          <w:b/>
          <w:i/>
          <w:lang w:val="en-GB" w:eastAsia="ko-KR"/>
        </w:rPr>
        <w:t xml:space="preserve">Observation </w:t>
      </w:r>
      <w:r w:rsidR="00480079">
        <w:rPr>
          <w:b/>
          <w:i/>
          <w:lang w:val="en-GB" w:eastAsia="ko-KR"/>
        </w:rPr>
        <w:t>3</w:t>
      </w:r>
      <w:r w:rsidRPr="0054679B">
        <w:rPr>
          <w:b/>
          <w:i/>
          <w:lang w:val="en-GB" w:eastAsia="ko-KR"/>
        </w:rPr>
        <w:t xml:space="preserve">: Having </w:t>
      </w:r>
      <w:r w:rsidR="000A050A">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4BEECEFC" w14:textId="6CBFA529" w:rsidR="000A050A" w:rsidRDefault="000A050A" w:rsidP="000E5C7E">
      <w:pPr>
        <w:ind w:left="1420"/>
        <w:rPr>
          <w:lang w:eastAsia="ko-KR"/>
        </w:rPr>
      </w:pPr>
      <w:r>
        <w:rPr>
          <w:lang w:eastAsia="ko-KR"/>
        </w:rPr>
        <w:t xml:space="preserve">To achieve the benefits of TCI state indication-triggered cell switch, the UE should have the target cell configuration before the indication of a TCI state </w:t>
      </w:r>
      <w:r>
        <w:rPr>
          <w:lang w:val="en-GB" w:eastAsia="ko-KR"/>
        </w:rPr>
        <w:t xml:space="preserve">associated with a cell having a PCI different from the PCI of the serving cell (i.e., the target cell). This allows a full cell switch that is triggered by or associated with the TCI state indication. </w:t>
      </w:r>
      <w:r w:rsidR="0078738E">
        <w:rPr>
          <w:lang w:val="en-GB" w:eastAsia="ko-KR"/>
        </w:rPr>
        <w:t>The same also applies</w:t>
      </w:r>
      <w:r w:rsidR="000E5C7E">
        <w:rPr>
          <w:lang w:val="en-GB" w:eastAsia="ko-KR"/>
        </w:rPr>
        <w:t xml:space="preserve"> for the dynamic cell switch command. </w:t>
      </w:r>
      <w:r>
        <w:rPr>
          <w:lang w:val="en-GB" w:eastAsia="ko-KR"/>
        </w:rPr>
        <w:t>It should be noted that, RAN2 is already considering preparing the target cell configuration to dynamic switching with a full configuration.</w:t>
      </w:r>
    </w:p>
    <w:p w14:paraId="6C0BE91A" w14:textId="4B316DEA" w:rsidR="000A050A" w:rsidRDefault="000A050A" w:rsidP="00521527">
      <w:pPr>
        <w:rPr>
          <w:lang w:eastAsia="ko-KR"/>
        </w:rPr>
      </w:pPr>
      <w:r>
        <w:rPr>
          <w:noProof/>
        </w:rPr>
        <mc:AlternateContent>
          <mc:Choice Requires="wps">
            <w:drawing>
              <wp:anchor distT="0" distB="0" distL="114300" distR="114300" simplePos="0" relativeHeight="251665408" behindDoc="0" locked="0" layoutInCell="1" allowOverlap="1" wp14:anchorId="425274A3" wp14:editId="6911A56F">
                <wp:simplePos x="0" y="0"/>
                <wp:positionH relativeFrom="column">
                  <wp:posOffset>0</wp:posOffset>
                </wp:positionH>
                <wp:positionV relativeFrom="paragraph">
                  <wp:posOffset>0</wp:posOffset>
                </wp:positionV>
                <wp:extent cx="1828800" cy="1828800"/>
                <wp:effectExtent l="0" t="0" r="24765" b="2667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5274A3" id="Text Box 4" o:spid="_x0000_s1033"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4d6WQIAAMsEAAAOAAAAZHJzL2Uyb0RvYy54bWysVN9v2jAQfp+0/8Hy+0hg0NKIUDEqpkld&#10;WwmmPhvHIdFsn2UbEvbX7+wQoN2epr2Y+5Xv7r67Y3bfKkkOwroadE6Hg5QSoTkUtd7l9Mdm9WlK&#10;ifNMF0yCFjk9Ckfv5x8/zBqTiRFUIAthCYJolzUmp5X3JksSxyuhmBuAERqdJVjFPKp2lxSWNYiu&#10;ZDJK05ukAVsYC1w4h9aHzknnEb8sBffPZemEJzKnWJuPr43vNrzJfMaynWWmqvmpDPYPVShWa0x6&#10;hnpgnpG9rf+AUjW34KD0Aw4qgbKsuYg9YDfD9F0364oZEXtBcpw50+T+Hyx/OrxYUhc5HVOimcIR&#10;bUTryRdoyTiw0xiXYdDaYJhv0YxT7u0OjaHptrQq/GI7BP3I8/HMbQDj4aPpaDpN0cXR1yuIn1w+&#10;N9b5rwIUCUJOLQ4vcsoOj853oX1IyOZA1sWqljIqYWHEUlpyYDjq7W4YP5V79R2KznY3STF/hxP3&#10;K4THAt4gSU2anN58nqQR4Y0vpL/kkIz/7PEutWBDUiNsIK4jKEi+3baR5tuevC0UR+TUQreTzvBV&#10;jfCPzPkXZnEJkSs8LP+MTykBa4KTREkF9tff7CEedwO9lDS41DnVeHWUyG8ad+ZuOB6HG4jKeHI7&#10;QsVee7bXHr1XS0Aqh3jAhkcxxHvZi6UF9YrXtwg50cU0x8w59b249N2h4fVysVjEINx6w/yjXhse&#10;oMPoAqmb9pVZcxq8x515gn75WfZu/l1sHLpZ7D2s6rgcgeWO0xP5eDFxuq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Tbh3pZAgAAywQAAA4AAAAAAAAAAAAAAAAALgIAAGRycy9lMm9Eb2MueG1sUEsBAi0A&#10;FAAGAAgAAAAhADZUTwHZAAAABQEAAA8AAAAAAAAAAAAAAAAAswQAAGRycy9kb3ducmV2LnhtbFBL&#10;BQYAAAAABAAEAPMAAAC5BQAAAAA=&#10;" fillcolor="#f2f2f2 [3052]" strokeweight=".5pt">
                <v:textbox style="mso-fit-shape-to-text:t">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v:textbox>
                <w10:wrap type="square"/>
              </v:shape>
            </w:pict>
          </mc:Fallback>
        </mc:AlternateContent>
      </w:r>
    </w:p>
    <w:p w14:paraId="76FE08D8" w14:textId="4C0FF365" w:rsidR="000E5C7E" w:rsidRDefault="00E1159E" w:rsidP="000E5C7E">
      <w:pPr>
        <w:pStyle w:val="ListParagraph"/>
        <w:numPr>
          <w:ilvl w:val="0"/>
          <w:numId w:val="25"/>
        </w:numPr>
        <w:rPr>
          <w:lang w:eastAsia="ko-KR"/>
        </w:rPr>
      </w:pPr>
      <w:r>
        <w:rPr>
          <w:lang w:val="en-GB" w:eastAsia="ko-KR"/>
        </w:rPr>
        <w:lastRenderedPageBreak/>
        <w:t xml:space="preserve">(Scenario 3) </w:t>
      </w:r>
      <w:r w:rsidR="000E5C7E">
        <w:rPr>
          <w:lang w:eastAsia="ko-KR"/>
        </w:rPr>
        <w:t xml:space="preserve">The cell switch command is indicated first to the target serving cell, this is followed by a beam indication </w:t>
      </w:r>
      <w:r>
        <w:rPr>
          <w:lang w:eastAsia="ko-KR"/>
        </w:rPr>
        <w:t>for</w:t>
      </w:r>
      <w:r w:rsidR="000E5C7E">
        <w:rPr>
          <w:lang w:eastAsia="ko-KR"/>
        </w:rPr>
        <w:t xml:space="preserve"> the target serving cell.</w:t>
      </w:r>
      <w:r>
        <w:rPr>
          <w:lang w:eastAsia="ko-KR"/>
        </w:rPr>
        <w:t xml:space="preserve"> We think that this scenario can have a longer latency.</w:t>
      </w:r>
    </w:p>
    <w:p w14:paraId="250D6466" w14:textId="442001CA" w:rsidR="00E14D11" w:rsidRDefault="00E1159E" w:rsidP="00E14D11">
      <w:pPr>
        <w:rPr>
          <w:lang w:eastAsia="ko-KR"/>
        </w:rPr>
      </w:pPr>
      <w:r>
        <w:rPr>
          <w:lang w:eastAsia="ko-KR"/>
        </w:rPr>
        <w:t>As aforementioned, t</w:t>
      </w:r>
      <w:r w:rsidR="00E14D11">
        <w:rPr>
          <w:lang w:eastAsia="ko-KR"/>
        </w:rPr>
        <w:t>here are several ways to achieve a dynamic cell switch based on beam indication that RAN1 can further consider:</w:t>
      </w:r>
    </w:p>
    <w:p w14:paraId="27D2FA32" w14:textId="77777777" w:rsidR="006C233B" w:rsidRPr="006C233B" w:rsidRDefault="00E14D11" w:rsidP="00617281">
      <w:pPr>
        <w:pStyle w:val="ListParagraph"/>
        <w:numPr>
          <w:ilvl w:val="0"/>
          <w:numId w:val="23"/>
        </w:numPr>
        <w:rPr>
          <w:lang w:eastAsia="ko-KR"/>
        </w:rPr>
      </w:pPr>
      <w:r>
        <w:rPr>
          <w:lang w:eastAsia="ko-KR"/>
        </w:rPr>
        <w:t xml:space="preserve">Network-triggered dynamic cell switch. This can be based on indication of a TCI state associated with a </w:t>
      </w:r>
      <w:r>
        <w:rPr>
          <w:lang w:val="en-GB" w:eastAsia="ko-KR"/>
        </w:rPr>
        <w:t xml:space="preserve">cell (the target </w:t>
      </w:r>
      <w:r w:rsidR="00E1159E">
        <w:rPr>
          <w:lang w:val="en-GB" w:eastAsia="ko-KR"/>
        </w:rPr>
        <w:t xml:space="preserve">serving </w:t>
      </w:r>
      <w:r>
        <w:rPr>
          <w:lang w:val="en-GB" w:eastAsia="ko-KR"/>
        </w:rPr>
        <w:t>cell) having a PCI different from the PCI of the serving cell.</w:t>
      </w:r>
      <w:r w:rsidR="00DF7E49">
        <w:rPr>
          <w:lang w:val="en-GB" w:eastAsia="ko-KR"/>
        </w:rPr>
        <w:t xml:space="preserve"> </w:t>
      </w:r>
      <w:r w:rsidR="006C233B">
        <w:rPr>
          <w:lang w:val="en-GB" w:eastAsia="ko-KR"/>
        </w:rPr>
        <w:t>The following options can be further supported:</w:t>
      </w:r>
    </w:p>
    <w:p w14:paraId="35869FA3" w14:textId="0B84E9B9" w:rsidR="006C233B" w:rsidRPr="006C233B" w:rsidRDefault="006C233B" w:rsidP="006C233B">
      <w:pPr>
        <w:pStyle w:val="ListParagraph"/>
        <w:numPr>
          <w:ilvl w:val="1"/>
          <w:numId w:val="23"/>
        </w:numPr>
        <w:rPr>
          <w:lang w:eastAsia="ko-KR"/>
        </w:rPr>
      </w:pPr>
      <w:r>
        <w:rPr>
          <w:lang w:val="en-GB" w:eastAsia="ko-KR"/>
        </w:rPr>
        <w:t>The TCI state is included in the cell switch command, and cell switch happens after the UE receives the cell switch command and applies the TCI state included in the cell switch command. This scenario has already been agreed. this would have fastest cell switch time as illustrated in</w:t>
      </w:r>
      <w:r>
        <w:rPr>
          <w:lang w:val="en-GB" w:eastAsia="ko-KR"/>
        </w:rPr>
        <w:fldChar w:fldCharType="begin"/>
      </w:r>
      <w:r>
        <w:rPr>
          <w:lang w:val="en-GB" w:eastAsia="ko-KR"/>
        </w:rPr>
        <w:instrText xml:space="preserve"> REF _Ref114737716 \h </w:instrText>
      </w:r>
      <w:r>
        <w:rPr>
          <w:lang w:val="en-GB" w:eastAsia="ko-KR"/>
        </w:rPr>
      </w:r>
      <w:r>
        <w:rPr>
          <w:lang w:val="en-GB" w:eastAsia="ko-KR"/>
        </w:rPr>
        <w:fldChar w:fldCharType="separate"/>
      </w:r>
      <w:r>
        <w:t xml:space="preserve"> Figure </w:t>
      </w:r>
      <w:r>
        <w:rPr>
          <w:noProof/>
        </w:rPr>
        <w:t>1</w:t>
      </w:r>
      <w:r>
        <w:rPr>
          <w:lang w:val="en-GB" w:eastAsia="ko-KR"/>
        </w:rPr>
        <w:fldChar w:fldCharType="end"/>
      </w:r>
      <w:r>
        <w:rPr>
          <w:lang w:val="en-GB" w:eastAsia="ko-KR"/>
        </w:rPr>
        <w:t>.</w:t>
      </w:r>
    </w:p>
    <w:p w14:paraId="3F4D3B88" w14:textId="66A64EA5" w:rsidR="006C233B" w:rsidRPr="006C233B" w:rsidRDefault="006C233B" w:rsidP="006C233B">
      <w:pPr>
        <w:pStyle w:val="ListParagraph"/>
        <w:numPr>
          <w:ilvl w:val="1"/>
          <w:numId w:val="23"/>
        </w:numPr>
        <w:rPr>
          <w:lang w:eastAsia="ko-KR"/>
        </w:rPr>
      </w:pPr>
      <w:r>
        <w:rPr>
          <w:lang w:eastAsia="ko-KR"/>
        </w:rPr>
        <w:t>T</w:t>
      </w:r>
      <w:r w:rsidRPr="006C233B">
        <w:rPr>
          <w:lang w:eastAsia="ko-KR"/>
        </w:rPr>
        <w:t>he TCI state indication itself triggers cell switch</w:t>
      </w:r>
      <w:r>
        <w:rPr>
          <w:lang w:eastAsia="ko-KR"/>
        </w:rPr>
        <w:t xml:space="preserve">, when indicated a TCI state associated with a target serving cell. The cell switch happens the time of application of that TCI state. </w:t>
      </w:r>
    </w:p>
    <w:p w14:paraId="49DF17A0" w14:textId="43C8ED39" w:rsidR="006C233B" w:rsidRPr="006C233B" w:rsidRDefault="006C233B" w:rsidP="006C233B">
      <w:pPr>
        <w:pStyle w:val="ListParagraph"/>
        <w:numPr>
          <w:ilvl w:val="1"/>
          <w:numId w:val="23"/>
        </w:numPr>
        <w:rPr>
          <w:lang w:eastAsia="ko-KR"/>
        </w:rPr>
      </w:pPr>
      <w:r>
        <w:rPr>
          <w:lang w:eastAsia="ko-KR"/>
        </w:rPr>
        <w:t xml:space="preserve">The TCI state of the target cell is signaled between the cell switch command. This is followed by a separate signal to do the cell switch. </w:t>
      </w:r>
      <w:r w:rsidR="00451D28">
        <w:rPr>
          <w:lang w:eastAsia="ko-KR"/>
        </w:rPr>
        <w:t>A</w:t>
      </w:r>
      <w:r>
        <w:rPr>
          <w:lang w:val="en-GB" w:eastAsia="ko-KR"/>
        </w:rPr>
        <w:t xml:space="preserve"> potential issue of doing the cell switch at the t</w:t>
      </w:r>
      <w:r w:rsidR="00451D28">
        <w:rPr>
          <w:lang w:val="en-GB" w:eastAsia="ko-KR"/>
        </w:rPr>
        <w:t>ime of TCI state application is a</w:t>
      </w:r>
      <w:r>
        <w:rPr>
          <w:lang w:val="en-GB" w:eastAsia="ko-KR"/>
        </w:rPr>
        <w:t xml:space="preserve"> ping-pong effect if subsequent TCI states are associated with the source serving cell</w:t>
      </w:r>
      <w:r w:rsidR="00451D28">
        <w:rPr>
          <w:lang w:val="en-GB" w:eastAsia="ko-KR"/>
        </w:rPr>
        <w:t xml:space="preserve">, this can be avoided by having separate indications for TCI state and cell switch. This is illustrate in </w:t>
      </w:r>
      <w:r w:rsidR="00451D28">
        <w:rPr>
          <w:lang w:val="en-GB" w:eastAsia="ko-KR"/>
        </w:rPr>
        <w:fldChar w:fldCharType="begin"/>
      </w:r>
      <w:r w:rsidR="00451D28">
        <w:rPr>
          <w:lang w:val="en-GB" w:eastAsia="ko-KR"/>
        </w:rPr>
        <w:instrText xml:space="preserve"> REF _Ref114738218 \h </w:instrText>
      </w:r>
      <w:r w:rsidR="00451D28">
        <w:rPr>
          <w:lang w:val="en-GB" w:eastAsia="ko-KR"/>
        </w:rPr>
      </w:r>
      <w:r w:rsidR="00451D28">
        <w:rPr>
          <w:lang w:val="en-GB" w:eastAsia="ko-KR"/>
        </w:rPr>
        <w:fldChar w:fldCharType="separate"/>
      </w:r>
      <w:r w:rsidR="00451D28">
        <w:t xml:space="preserve">Figure </w:t>
      </w:r>
      <w:r w:rsidR="00451D28">
        <w:rPr>
          <w:noProof/>
        </w:rPr>
        <w:t>2</w:t>
      </w:r>
      <w:r w:rsidR="00451D28">
        <w:rPr>
          <w:lang w:val="en-GB" w:eastAsia="ko-KR"/>
        </w:rPr>
        <w:fldChar w:fldCharType="end"/>
      </w:r>
      <w:r w:rsidR="00451D28">
        <w:rPr>
          <w:lang w:val="en-GB" w:eastAsia="ko-KR"/>
        </w:rPr>
        <w:t xml:space="preserve">, where the UE is first indicated a TCI state associated with cell having a PCI different from the PCI of the serving cell, this is subsequently followed by a signal (that can be based on additional criterial) to perform the cell switch. A variant of </w:t>
      </w:r>
      <w:r w:rsidR="00451D28">
        <w:rPr>
          <w:lang w:val="en-GB" w:eastAsia="ko-KR"/>
        </w:rPr>
        <w:fldChar w:fldCharType="begin"/>
      </w:r>
      <w:r w:rsidR="00451D28">
        <w:rPr>
          <w:lang w:val="en-GB" w:eastAsia="ko-KR"/>
        </w:rPr>
        <w:instrText xml:space="preserve"> REF _Ref114738218 \h </w:instrText>
      </w:r>
      <w:r w:rsidR="00451D28">
        <w:rPr>
          <w:lang w:val="en-GB" w:eastAsia="ko-KR"/>
        </w:rPr>
      </w:r>
      <w:r w:rsidR="00451D28">
        <w:rPr>
          <w:lang w:val="en-GB" w:eastAsia="ko-KR"/>
        </w:rPr>
        <w:fldChar w:fldCharType="separate"/>
      </w:r>
      <w:r w:rsidR="00451D28">
        <w:t xml:space="preserve">Figure </w:t>
      </w:r>
      <w:r w:rsidR="00451D28">
        <w:rPr>
          <w:noProof/>
        </w:rPr>
        <w:t>2</w:t>
      </w:r>
      <w:r w:rsidR="00451D28">
        <w:rPr>
          <w:lang w:val="en-GB" w:eastAsia="ko-KR"/>
        </w:rPr>
        <w:fldChar w:fldCharType="end"/>
      </w:r>
      <w:r w:rsidR="00451D28">
        <w:rPr>
          <w:lang w:val="en-GB" w:eastAsia="ko-KR"/>
        </w:rPr>
        <w:t xml:space="preserve"> is not to apply the TCI state of the target serving cell right away, but rather wait for the cell switch command as illustrated in </w:t>
      </w:r>
      <w:r w:rsidR="00451D28">
        <w:rPr>
          <w:lang w:val="en-GB" w:eastAsia="ko-KR"/>
        </w:rPr>
        <w:fldChar w:fldCharType="begin"/>
      </w:r>
      <w:r w:rsidR="00451D28">
        <w:rPr>
          <w:lang w:val="en-GB" w:eastAsia="ko-KR"/>
        </w:rPr>
        <w:instrText xml:space="preserve"> REF _Ref118312793 \h </w:instrText>
      </w:r>
      <w:r w:rsidR="00451D28">
        <w:rPr>
          <w:lang w:val="en-GB" w:eastAsia="ko-KR"/>
        </w:rPr>
      </w:r>
      <w:r w:rsidR="00451D28">
        <w:rPr>
          <w:lang w:val="en-GB" w:eastAsia="ko-KR"/>
        </w:rPr>
        <w:fldChar w:fldCharType="separate"/>
      </w:r>
      <w:r w:rsidR="00451D28">
        <w:t xml:space="preserve">Figure </w:t>
      </w:r>
      <w:r w:rsidR="00451D28">
        <w:rPr>
          <w:noProof/>
        </w:rPr>
        <w:t>3</w:t>
      </w:r>
      <w:r w:rsidR="00451D28">
        <w:rPr>
          <w:lang w:val="en-GB" w:eastAsia="ko-KR"/>
        </w:rPr>
        <w:fldChar w:fldCharType="end"/>
      </w:r>
      <w:r w:rsidR="00451D28">
        <w:rPr>
          <w:lang w:val="en-GB" w:eastAsia="ko-KR"/>
        </w:rPr>
        <w:t>.</w:t>
      </w:r>
    </w:p>
    <w:p w14:paraId="2F002053" w14:textId="00471165" w:rsidR="00E14D11" w:rsidRDefault="00E14D11" w:rsidP="00E14D11">
      <w:pPr>
        <w:rPr>
          <w:lang w:eastAsia="ko-KR"/>
        </w:rPr>
      </w:pPr>
    </w:p>
    <w:p w14:paraId="7B0E935F" w14:textId="77777777" w:rsidR="0016104A" w:rsidRDefault="0016104A" w:rsidP="0016104A">
      <w:pPr>
        <w:keepNext/>
        <w:jc w:val="center"/>
      </w:pPr>
      <w:r>
        <w:object w:dxaOrig="7333" w:dyaOrig="4045" w14:anchorId="67AA7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02.25pt" o:ole="">
            <v:imagedata r:id="rId11" o:title=""/>
          </v:shape>
          <o:OLEObject Type="Embed" ProgID="Visio.Drawing.11" ShapeID="_x0000_i1025" DrawAspect="Content" ObjectID="_1753279097" r:id="rId12"/>
        </w:object>
      </w:r>
    </w:p>
    <w:p w14:paraId="4172F7B4" w14:textId="551AC145" w:rsidR="0016104A" w:rsidRDefault="0016104A" w:rsidP="0016104A">
      <w:pPr>
        <w:pStyle w:val="Caption"/>
        <w:tabs>
          <w:tab w:val="center" w:pos="4820"/>
          <w:tab w:val="left" w:pos="8140"/>
        </w:tabs>
      </w:pPr>
      <w:bookmarkStart w:id="3" w:name="_Ref114737716"/>
      <w:r>
        <w:tab/>
        <w:t xml:space="preserve">Figure </w:t>
      </w:r>
      <w:r>
        <w:fldChar w:fldCharType="begin"/>
      </w:r>
      <w:r>
        <w:instrText xml:space="preserve"> SEQ Figure \* ARABIC </w:instrText>
      </w:r>
      <w:r>
        <w:fldChar w:fldCharType="separate"/>
      </w:r>
      <w:r w:rsidR="0078738E">
        <w:rPr>
          <w:noProof/>
        </w:rPr>
        <w:t>1</w:t>
      </w:r>
      <w:r>
        <w:fldChar w:fldCharType="end"/>
      </w:r>
      <w:bookmarkEnd w:id="3"/>
      <w:r>
        <w:t>: Cell switch at the application time of the TCI state</w:t>
      </w:r>
      <w:r>
        <w:tab/>
      </w:r>
    </w:p>
    <w:p w14:paraId="54043CE2" w14:textId="5EDAC9D7" w:rsidR="0016104A" w:rsidRDefault="0016104A" w:rsidP="0016104A">
      <w:pPr>
        <w:rPr>
          <w:lang w:val="en-GB"/>
        </w:rPr>
      </w:pPr>
    </w:p>
    <w:p w14:paraId="0A7E1C1E" w14:textId="5F05A6F6" w:rsidR="0016104A" w:rsidRDefault="0016104A" w:rsidP="0016104A">
      <w:pPr>
        <w:rPr>
          <w:lang w:val="en-GB"/>
        </w:rPr>
      </w:pPr>
    </w:p>
    <w:p w14:paraId="2E0CCB5E" w14:textId="77777777" w:rsidR="0016104A" w:rsidRDefault="0016104A" w:rsidP="0016104A">
      <w:pPr>
        <w:keepNext/>
        <w:jc w:val="center"/>
      </w:pPr>
      <w:r>
        <w:object w:dxaOrig="11509" w:dyaOrig="4128" w14:anchorId="6B24ECF2">
          <v:shape id="_x0000_i1026" type="#_x0000_t75" style="width:457.5pt;height:164.5pt" o:ole="">
            <v:imagedata r:id="rId13" o:title=""/>
          </v:shape>
          <o:OLEObject Type="Embed" ProgID="Visio.Drawing.11" ShapeID="_x0000_i1026" DrawAspect="Content" ObjectID="_1753279098" r:id="rId14"/>
        </w:object>
      </w:r>
    </w:p>
    <w:p w14:paraId="76E307AD" w14:textId="5D05AF27" w:rsidR="0016104A" w:rsidRDefault="0016104A" w:rsidP="0016104A">
      <w:pPr>
        <w:pStyle w:val="Caption"/>
        <w:jc w:val="center"/>
      </w:pPr>
      <w:bookmarkStart w:id="4" w:name="_Ref114738218"/>
      <w:r>
        <w:t xml:space="preserve">Figure </w:t>
      </w:r>
      <w:r>
        <w:fldChar w:fldCharType="begin"/>
      </w:r>
      <w:r>
        <w:instrText xml:space="preserve"> SEQ Figure \* ARABIC </w:instrText>
      </w:r>
      <w:r>
        <w:fldChar w:fldCharType="separate"/>
      </w:r>
      <w:r w:rsidR="0078738E">
        <w:rPr>
          <w:noProof/>
        </w:rPr>
        <w:t>2</w:t>
      </w:r>
      <w:r>
        <w:fldChar w:fldCharType="end"/>
      </w:r>
      <w:bookmarkEnd w:id="4"/>
      <w:r>
        <w:t>: Cell switch after application TCI state using a separate signal.</w:t>
      </w:r>
    </w:p>
    <w:p w14:paraId="6E457B29" w14:textId="0EB860C6" w:rsidR="008757F6" w:rsidRDefault="008757F6" w:rsidP="008757F6">
      <w:pPr>
        <w:rPr>
          <w:lang w:val="en-GB"/>
        </w:rPr>
      </w:pPr>
    </w:p>
    <w:p w14:paraId="11180C83" w14:textId="77777777" w:rsidR="008757F6" w:rsidRDefault="008757F6" w:rsidP="008757F6">
      <w:pPr>
        <w:keepNext/>
      </w:pPr>
      <w:r>
        <w:object w:dxaOrig="11509" w:dyaOrig="4128" w14:anchorId="77CBDB64">
          <v:shape id="_x0000_i1027" type="#_x0000_t75" style="width:456.9pt;height:163.9pt" o:ole="">
            <v:imagedata r:id="rId15" o:title=""/>
          </v:shape>
          <o:OLEObject Type="Embed" ProgID="Visio.Drawing.11" ShapeID="_x0000_i1027" DrawAspect="Content" ObjectID="_1753279099" r:id="rId16"/>
        </w:object>
      </w:r>
    </w:p>
    <w:p w14:paraId="5265427A" w14:textId="5287E2DE" w:rsidR="008757F6" w:rsidRPr="008757F6" w:rsidRDefault="008757F6" w:rsidP="008757F6">
      <w:pPr>
        <w:pStyle w:val="Caption"/>
      </w:pPr>
      <w:bookmarkStart w:id="5" w:name="_Ref118312793"/>
      <w:r>
        <w:t xml:space="preserve">Figure </w:t>
      </w:r>
      <w:r>
        <w:fldChar w:fldCharType="begin"/>
      </w:r>
      <w:r>
        <w:instrText xml:space="preserve"> SEQ Figure \* ARABIC </w:instrText>
      </w:r>
      <w:r>
        <w:fldChar w:fldCharType="separate"/>
      </w:r>
      <w:r w:rsidR="0078738E">
        <w:rPr>
          <w:noProof/>
        </w:rPr>
        <w:t>3</w:t>
      </w:r>
      <w:r>
        <w:fldChar w:fldCharType="end"/>
      </w:r>
      <w:bookmarkEnd w:id="5"/>
      <w:r>
        <w:t>: Applying previously indicated TCI state at time of dynamic cell switch.</w:t>
      </w:r>
    </w:p>
    <w:p w14:paraId="314B6A37" w14:textId="0ED883B7" w:rsidR="0016104A" w:rsidRDefault="0016104A" w:rsidP="0016104A">
      <w:pPr>
        <w:rPr>
          <w:lang w:val="en-GB"/>
        </w:rPr>
      </w:pPr>
    </w:p>
    <w:p w14:paraId="4438002F" w14:textId="0713A752" w:rsidR="00E1159E" w:rsidRDefault="00D01D94" w:rsidP="0016104A">
      <w:pPr>
        <w:rPr>
          <w:b/>
          <w:i/>
          <w:lang w:eastAsia="ko-KR"/>
        </w:rPr>
      </w:pPr>
      <w:r w:rsidRPr="00D01D94">
        <w:rPr>
          <w:b/>
          <w:i/>
          <w:lang w:val="en-GB"/>
        </w:rPr>
        <w:t xml:space="preserve">Proposal </w:t>
      </w:r>
      <w:r w:rsidR="00480079">
        <w:rPr>
          <w:b/>
          <w:i/>
          <w:lang w:val="en-GB"/>
        </w:rPr>
        <w:t>9</w:t>
      </w:r>
      <w:r w:rsidRPr="004B1264">
        <w:rPr>
          <w:b/>
          <w:i/>
          <w:lang w:val="en-GB"/>
        </w:rPr>
        <w:t xml:space="preserve">: </w:t>
      </w:r>
      <w:r w:rsidR="004B1264" w:rsidRPr="004B1264">
        <w:rPr>
          <w:b/>
          <w:i/>
          <w:lang w:val="en-GB"/>
        </w:rPr>
        <w:t xml:space="preserve">For </w:t>
      </w:r>
      <w:r w:rsidR="005D4D45" w:rsidRPr="004B1264">
        <w:rPr>
          <w:b/>
          <w:i/>
          <w:lang w:eastAsia="ko-KR"/>
        </w:rPr>
        <w:t>Rel-18 LTM</w:t>
      </w:r>
      <w:r w:rsidRPr="004B1264">
        <w:rPr>
          <w:b/>
          <w:i/>
          <w:lang w:eastAsia="ko-KR"/>
        </w:rPr>
        <w:t xml:space="preserve">, </w:t>
      </w:r>
      <w:r w:rsidR="005D4D45" w:rsidRPr="004B1264">
        <w:rPr>
          <w:b/>
          <w:i/>
          <w:lang w:eastAsia="ko-KR"/>
        </w:rPr>
        <w:t>in ad</w:t>
      </w:r>
      <w:r w:rsidR="005D4D45">
        <w:rPr>
          <w:b/>
          <w:i/>
          <w:lang w:eastAsia="ko-KR"/>
        </w:rPr>
        <w:t xml:space="preserve">dition to the </w:t>
      </w:r>
      <w:r w:rsidR="005D4D45" w:rsidRPr="00E1159E">
        <w:rPr>
          <w:b/>
          <w:i/>
          <w:lang w:val="en-GB"/>
        </w:rPr>
        <w:t>beam</w:t>
      </w:r>
      <w:r w:rsidR="00943A41">
        <w:rPr>
          <w:b/>
          <w:i/>
          <w:lang w:val="en-GB"/>
        </w:rPr>
        <w:t xml:space="preserve"> (TCI state ID)</w:t>
      </w:r>
      <w:r w:rsidR="005D4D45" w:rsidRPr="00E1159E">
        <w:rPr>
          <w:b/>
          <w:i/>
          <w:lang w:val="en-GB"/>
        </w:rPr>
        <w:t xml:space="preserve"> </w:t>
      </w:r>
      <w:r w:rsidR="005D4D45">
        <w:rPr>
          <w:b/>
          <w:i/>
          <w:lang w:val="en-GB"/>
        </w:rPr>
        <w:t>being</w:t>
      </w:r>
      <w:r w:rsidR="005D4D45" w:rsidRPr="00E1159E">
        <w:rPr>
          <w:b/>
          <w:i/>
          <w:lang w:val="en-GB"/>
        </w:rPr>
        <w:t xml:space="preserve"> indicated to the target cell with</w:t>
      </w:r>
      <w:r w:rsidR="00F72DC3">
        <w:rPr>
          <w:b/>
          <w:i/>
          <w:lang w:val="en-GB"/>
        </w:rPr>
        <w:t>in</w:t>
      </w:r>
      <w:r w:rsidR="005D4D45" w:rsidRPr="00E1159E">
        <w:rPr>
          <w:b/>
          <w:i/>
          <w:lang w:val="en-GB"/>
        </w:rPr>
        <w:t xml:space="preserve"> the cell switch command</w:t>
      </w:r>
      <w:r w:rsidR="005D4D45">
        <w:rPr>
          <w:b/>
          <w:i/>
          <w:lang w:val="en-GB"/>
        </w:rPr>
        <w:t>,</w:t>
      </w:r>
      <w:r w:rsidR="005D4D45">
        <w:rPr>
          <w:b/>
          <w:i/>
          <w:lang w:eastAsia="ko-KR"/>
        </w:rPr>
        <w:t xml:space="preserve"> </w:t>
      </w:r>
      <w:r w:rsidR="00480079">
        <w:rPr>
          <w:b/>
          <w:i/>
          <w:lang w:eastAsia="ko-KR"/>
        </w:rPr>
        <w:t xml:space="preserve">support </w:t>
      </w:r>
      <w:r w:rsidR="00AC3B28">
        <w:rPr>
          <w:b/>
          <w:i/>
          <w:lang w:eastAsia="ko-KR"/>
        </w:rPr>
        <w:t>the following</w:t>
      </w:r>
      <w:r w:rsidR="00E1159E">
        <w:rPr>
          <w:b/>
          <w:i/>
          <w:lang w:eastAsia="ko-KR"/>
        </w:rPr>
        <w:t>,</w:t>
      </w:r>
    </w:p>
    <w:p w14:paraId="4D567A82" w14:textId="084E66A0" w:rsidR="00451D28" w:rsidRPr="00451D28" w:rsidRDefault="00451D28" w:rsidP="00E1159E">
      <w:pPr>
        <w:pStyle w:val="ListParagraph"/>
        <w:numPr>
          <w:ilvl w:val="0"/>
          <w:numId w:val="23"/>
        </w:numPr>
        <w:rPr>
          <w:b/>
          <w:i/>
          <w:lang w:val="en-GB"/>
        </w:rPr>
      </w:pPr>
      <w:r w:rsidRPr="00451D28">
        <w:rPr>
          <w:b/>
          <w:i/>
          <w:lang w:val="en-GB"/>
        </w:rPr>
        <w:t>The cell switch occurs at the time of indicating a TCI state associated with the target serving cell.</w:t>
      </w:r>
    </w:p>
    <w:p w14:paraId="2341C20C" w14:textId="39B77028" w:rsidR="00D01D94" w:rsidRPr="00E1159E" w:rsidRDefault="00E1159E" w:rsidP="00E1159E">
      <w:pPr>
        <w:pStyle w:val="ListParagraph"/>
        <w:numPr>
          <w:ilvl w:val="0"/>
          <w:numId w:val="23"/>
        </w:numPr>
        <w:rPr>
          <w:lang w:val="en-GB"/>
        </w:rPr>
      </w:pPr>
      <w:r w:rsidRPr="00E1159E">
        <w:rPr>
          <w:b/>
          <w:i/>
          <w:lang w:eastAsia="ko-KR"/>
        </w:rPr>
        <w:t>The beam is indicated first to target cell; this is then followed by the cell switch command</w:t>
      </w:r>
      <w:r w:rsidR="00D01D94" w:rsidRPr="00E1159E">
        <w:rPr>
          <w:b/>
          <w:i/>
          <w:lang w:eastAsia="ko-KR"/>
        </w:rPr>
        <w:t>.</w:t>
      </w:r>
    </w:p>
    <w:p w14:paraId="3EAFCF0D" w14:textId="0C56BB22" w:rsidR="00571397" w:rsidRPr="00571397" w:rsidRDefault="00571397" w:rsidP="00E14D11">
      <w:pPr>
        <w:rPr>
          <w:rFonts w:eastAsiaTheme="minorEastAsia"/>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8287015" w:rsidR="009C0C2D" w:rsidRDefault="009C0C2D" w:rsidP="009C0C2D">
      <w:pPr>
        <w:rPr>
          <w:lang w:eastAsia="ko-KR"/>
        </w:rPr>
      </w:pPr>
      <w:r w:rsidRPr="00EE7300">
        <w:rPr>
          <w:lang w:eastAsia="ko-KR"/>
        </w:rPr>
        <w:t xml:space="preserve">The following </w:t>
      </w:r>
      <w:r w:rsidR="005C3B35">
        <w:rPr>
          <w:lang w:eastAsia="ko-KR"/>
        </w:rPr>
        <w:t>observation</w:t>
      </w:r>
      <w:r w:rsidR="000A1EE8">
        <w:rPr>
          <w:lang w:eastAsia="ko-KR"/>
        </w:rPr>
        <w:t>s</w:t>
      </w:r>
      <w:r w:rsidR="005C3B35">
        <w:rPr>
          <w:lang w:eastAsia="ko-KR"/>
        </w:rPr>
        <w:t xml:space="preserve">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06C13030" w14:textId="77777777" w:rsidR="00DF0060" w:rsidRDefault="00DF0060" w:rsidP="00DF0060">
      <w:pPr>
        <w:rPr>
          <w:b/>
          <w:i/>
          <w:lang w:val="en-GB" w:eastAsia="ko-KR"/>
        </w:rPr>
      </w:pPr>
      <w:r>
        <w:rPr>
          <w:b/>
          <w:i/>
          <w:lang w:val="en-GB" w:eastAsia="ko-KR"/>
        </w:rPr>
        <w:t>Proposal 1</w:t>
      </w:r>
      <w:r w:rsidRPr="00CE7EEA">
        <w:rPr>
          <w:b/>
          <w:i/>
          <w:lang w:val="en-GB" w:eastAsia="ko-KR"/>
        </w:rPr>
        <w:t xml:space="preserve">: </w:t>
      </w:r>
      <w:r>
        <w:rPr>
          <w:b/>
          <w:i/>
          <w:lang w:val="en-GB" w:eastAsia="ko-KR"/>
        </w:rPr>
        <w:t>Don’t support</w:t>
      </w:r>
      <w:r w:rsidRPr="00CE7EEA">
        <w:rPr>
          <w:b/>
          <w:i/>
          <w:lang w:val="en-GB" w:eastAsia="ko-KR"/>
        </w:rPr>
        <w:t xml:space="preserve"> L1-SINR measurement metric for L1/L2 mobility</w:t>
      </w:r>
      <w:r>
        <w:rPr>
          <w:b/>
          <w:i/>
          <w:lang w:val="en-GB" w:eastAsia="ko-KR"/>
        </w:rPr>
        <w:t xml:space="preserve"> in Rel-18</w:t>
      </w:r>
      <w:r w:rsidRPr="00CE7EEA">
        <w:rPr>
          <w:b/>
          <w:i/>
          <w:lang w:val="en-GB" w:eastAsia="ko-KR"/>
        </w:rPr>
        <w:t>.</w:t>
      </w:r>
    </w:p>
    <w:p w14:paraId="1B10870E" w14:textId="77777777" w:rsidR="00DF0060" w:rsidRPr="00672CC9" w:rsidRDefault="00DF0060" w:rsidP="00DF0060">
      <w:pPr>
        <w:rPr>
          <w:b/>
          <w:i/>
          <w:lang w:val="en-GB" w:eastAsia="ko-KR"/>
        </w:rPr>
      </w:pPr>
      <w:r w:rsidRPr="00672CC9">
        <w:rPr>
          <w:b/>
          <w:i/>
          <w:lang w:val="en-GB" w:eastAsia="ko-KR"/>
        </w:rPr>
        <w:t xml:space="preserve">Observation </w:t>
      </w:r>
      <w:r>
        <w:rPr>
          <w:b/>
          <w:i/>
          <w:lang w:val="en-GB" w:eastAsia="ko-KR"/>
        </w:rPr>
        <w:t>1</w:t>
      </w:r>
      <w:r w:rsidRPr="00672CC9">
        <w:rPr>
          <w:b/>
          <w:i/>
          <w:lang w:val="en-GB" w:eastAsia="ko-KR"/>
        </w:rPr>
        <w:t>: Filtering of L1 measurement results can be left to network implementation if needed.</w:t>
      </w:r>
    </w:p>
    <w:p w14:paraId="35A2325D" w14:textId="77777777" w:rsidR="00DF0060" w:rsidRDefault="00DF0060" w:rsidP="00DF0060">
      <w:pPr>
        <w:rPr>
          <w:lang w:val="en-GB" w:eastAsia="ko-KR"/>
        </w:rPr>
      </w:pPr>
      <w:r>
        <w:rPr>
          <w:b/>
          <w:i/>
          <w:lang w:val="en-GB" w:eastAsia="ko-KR"/>
        </w:rPr>
        <w:t>Proposal 2</w:t>
      </w:r>
      <w:r w:rsidRPr="00CE7EEA">
        <w:rPr>
          <w:b/>
          <w:i/>
          <w:lang w:val="en-GB" w:eastAsia="ko-KR"/>
        </w:rPr>
        <w:t>:</w:t>
      </w:r>
      <w:r>
        <w:rPr>
          <w:b/>
          <w:i/>
          <w:lang w:val="en-GB" w:eastAsia="ko-KR"/>
        </w:rPr>
        <w:t xml:space="preserve"> Confirm the working assumption on beam measurement report from RAN1#113, with the following updates:</w:t>
      </w:r>
    </w:p>
    <w:p w14:paraId="2A72EE28" w14:textId="77777777" w:rsidR="00DF0060" w:rsidRPr="005A1E11" w:rsidRDefault="00DF0060" w:rsidP="00DF0060">
      <w:pPr>
        <w:pStyle w:val="ListParagraph"/>
        <w:numPr>
          <w:ilvl w:val="0"/>
          <w:numId w:val="47"/>
        </w:numPr>
        <w:rPr>
          <w:b/>
          <w:i/>
          <w:lang w:val="en-GB" w:eastAsia="ko-KR"/>
        </w:rPr>
      </w:pPr>
      <w:r w:rsidRPr="005A1E11">
        <w:rPr>
          <w:b/>
          <w:i/>
          <w:lang w:val="en-GB" w:eastAsia="ko-KR"/>
        </w:rPr>
        <w:t>If SpCell is configured to be included in the L1 measurement, the minimum value of L is 2. Else, if SpCell is configured to not be included in the L1 measurement, the minimum value of L is 1.</w:t>
      </w:r>
    </w:p>
    <w:p w14:paraId="16273C3E" w14:textId="4FC0AB26" w:rsidR="00DF0060" w:rsidRPr="005A1E11" w:rsidRDefault="00DF0060" w:rsidP="00DF0060">
      <w:pPr>
        <w:pStyle w:val="ListParagraph"/>
        <w:numPr>
          <w:ilvl w:val="0"/>
          <w:numId w:val="47"/>
        </w:numPr>
        <w:rPr>
          <w:b/>
          <w:i/>
          <w:lang w:val="en-GB" w:eastAsia="ko-KR"/>
        </w:rPr>
      </w:pPr>
      <w:r>
        <w:rPr>
          <w:b/>
          <w:i/>
          <w:lang w:val="en-GB" w:eastAsia="ko-KR"/>
        </w:rPr>
        <w:t>The minimum value</w:t>
      </w:r>
      <w:r w:rsidR="00BF57A1">
        <w:rPr>
          <w:b/>
          <w:i/>
          <w:lang w:val="en-GB" w:eastAsia="ko-KR"/>
        </w:rPr>
        <w:t xml:space="preserve"> for</w:t>
      </w:r>
      <w:r>
        <w:rPr>
          <w:b/>
          <w:i/>
          <w:lang w:val="en-GB" w:eastAsia="ko-KR"/>
        </w:rPr>
        <w:t xml:space="preserve"> L</w:t>
      </w:r>
      <w:r w:rsidRPr="00DF0060">
        <w:rPr>
          <w:b/>
          <w:lang w:val="en-GB" w:eastAsia="ko-KR"/>
        </w:rPr>
        <w:t>x</w:t>
      </w:r>
      <w:r w:rsidRPr="005A1E11">
        <w:rPr>
          <w:b/>
          <w:i/>
          <w:lang w:val="en-GB" w:eastAsia="ko-KR"/>
        </w:rPr>
        <w:t>M is 3.</w:t>
      </w:r>
    </w:p>
    <w:p w14:paraId="6F7B6F4C" w14:textId="07063FC0" w:rsidR="00DF0060" w:rsidRDefault="00DF0060" w:rsidP="00DF0060">
      <w:pPr>
        <w:rPr>
          <w:lang w:val="en-GB" w:eastAsia="ko-KR"/>
        </w:rPr>
      </w:pPr>
      <w:r>
        <w:rPr>
          <w:b/>
          <w:i/>
          <w:lang w:val="en-GB" w:eastAsia="ko-KR"/>
        </w:rPr>
        <w:t>Proposal 3</w:t>
      </w:r>
      <w:r w:rsidRPr="00CE7EEA">
        <w:rPr>
          <w:b/>
          <w:i/>
          <w:lang w:val="en-GB" w:eastAsia="ko-KR"/>
        </w:rPr>
        <w:t>:</w:t>
      </w:r>
      <w:r>
        <w:rPr>
          <w:b/>
          <w:i/>
          <w:lang w:val="en-GB" w:eastAsia="ko-KR"/>
        </w:rPr>
        <w:t xml:space="preserve"> For LTM-based beam reporting, differential beam reporting is used. The first beam in the beam measurement report uses 7-bits in the range [-140,-44] dBm with a 1-dB quantization step. The remaining </w:t>
      </w:r>
      <m:oMath>
        <m:r>
          <m:rPr>
            <m:sty m:val="bi"/>
          </m:rPr>
          <w:rPr>
            <w:rFonts w:ascii="Cambria Math" w:hAnsi="Cambria Math"/>
            <w:lang w:val="en-GB" w:eastAsia="ko-KR"/>
          </w:rPr>
          <m:t>L×M-1</m:t>
        </m:r>
      </m:oMath>
      <w:r>
        <w:rPr>
          <w:b/>
          <w:i/>
          <w:lang w:val="en-GB" w:eastAsia="ko-KR"/>
        </w:rPr>
        <w:t xml:space="preserve"> beams are reported relative to the first beam using 4-bits with a 2 dB quantization step.</w:t>
      </w:r>
    </w:p>
    <w:p w14:paraId="44A84C2D" w14:textId="654C36D8" w:rsidR="00DF0060" w:rsidRDefault="00DF0060" w:rsidP="009C0C2D">
      <w:pPr>
        <w:rPr>
          <w:b/>
          <w:i/>
          <w:lang w:val="en-GB" w:eastAsia="ko-KR"/>
        </w:rPr>
      </w:pPr>
      <w:r w:rsidRPr="005D4D45">
        <w:rPr>
          <w:b/>
          <w:i/>
          <w:lang w:val="en-GB" w:eastAsia="ko-KR"/>
        </w:rPr>
        <w:lastRenderedPageBreak/>
        <w:t xml:space="preserve">Observation </w:t>
      </w:r>
      <w:r>
        <w:rPr>
          <w:b/>
          <w:i/>
          <w:lang w:val="en-GB" w:eastAsia="ko-KR"/>
        </w:rPr>
        <w:t>2</w:t>
      </w:r>
      <w:r w:rsidRPr="005D4D45">
        <w:rPr>
          <w:b/>
          <w:i/>
          <w:lang w:val="en-GB" w:eastAsia="ko-KR"/>
        </w:rPr>
        <w:t>: Rel-15 TCI/spatial relation framework doesn’t support beam indication for non-serving cells.</w:t>
      </w:r>
    </w:p>
    <w:p w14:paraId="592BB782" w14:textId="77777777" w:rsidR="00DF0060" w:rsidRDefault="00DF0060" w:rsidP="00DF0060">
      <w:pPr>
        <w:rPr>
          <w:b/>
          <w:i/>
          <w:lang w:val="en-GB" w:eastAsia="ko-KR"/>
        </w:rPr>
      </w:pPr>
      <w:r w:rsidRPr="00B837D2">
        <w:rPr>
          <w:b/>
          <w:i/>
          <w:lang w:val="en-GB" w:eastAsia="ko-KR"/>
        </w:rPr>
        <w:t xml:space="preserve">Proposal </w:t>
      </w:r>
      <w:r>
        <w:rPr>
          <w:b/>
          <w:i/>
          <w:lang w:val="en-GB" w:eastAsia="ko-KR"/>
        </w:rPr>
        <w:t>4</w:t>
      </w:r>
      <w:r w:rsidRPr="00B837D2">
        <w:rPr>
          <w:b/>
          <w:i/>
          <w:lang w:val="en-GB" w:eastAsia="ko-KR"/>
        </w:rPr>
        <w:t xml:space="preserve">: </w:t>
      </w:r>
      <w:r>
        <w:rPr>
          <w:b/>
          <w:i/>
          <w:lang w:val="en-GB" w:eastAsia="ko-KR"/>
        </w:rPr>
        <w:t>A pre-requisite for supporting Rel-18 LTM is the support of Rel-17 unified TCI state framework</w:t>
      </w:r>
      <w:r w:rsidRPr="00B837D2">
        <w:rPr>
          <w:b/>
          <w:i/>
          <w:lang w:val="en-GB" w:eastAsia="ko-KR"/>
        </w:rPr>
        <w:t>.</w:t>
      </w:r>
    </w:p>
    <w:p w14:paraId="62B09A5E" w14:textId="77777777" w:rsidR="00DF0060" w:rsidRPr="0092026F" w:rsidRDefault="00DF0060" w:rsidP="00DF0060">
      <w:pPr>
        <w:rPr>
          <w:b/>
          <w:i/>
          <w:lang w:val="en-GB" w:eastAsia="ko-KR"/>
        </w:rPr>
      </w:pPr>
      <w:r w:rsidRPr="0092026F">
        <w:rPr>
          <w:b/>
          <w:i/>
          <w:lang w:val="en-GB" w:eastAsia="ko-KR"/>
        </w:rPr>
        <w:t xml:space="preserve">Proposal </w:t>
      </w:r>
      <w:r>
        <w:rPr>
          <w:b/>
          <w:i/>
          <w:lang w:val="en-GB" w:eastAsia="ko-KR"/>
        </w:rPr>
        <w:t>5</w:t>
      </w:r>
      <w:r w:rsidRPr="0092026F">
        <w:rPr>
          <w:b/>
          <w:i/>
          <w:lang w:val="en-GB" w:eastAsia="ko-KR"/>
        </w:rPr>
        <w:t>: for CORESETs associat</w:t>
      </w:r>
      <w:r>
        <w:rPr>
          <w:b/>
          <w:i/>
          <w:lang w:val="en-GB" w:eastAsia="ko-KR"/>
        </w:rPr>
        <w:t>ed with CSS set other than Type</w:t>
      </w:r>
      <w:r w:rsidRPr="0092026F">
        <w:rPr>
          <w:b/>
          <w:i/>
          <w:lang w:val="en-GB" w:eastAsia="ko-KR"/>
        </w:rPr>
        <w:t>3</w:t>
      </w:r>
      <w:r>
        <w:rPr>
          <w:b/>
          <w:i/>
          <w:lang w:val="en-GB" w:eastAsia="ko-KR"/>
        </w:rPr>
        <w:t>-PDCCH</w:t>
      </w:r>
      <w:r w:rsidRPr="0092026F">
        <w:rPr>
          <w:b/>
          <w:i/>
          <w:lang w:val="en-GB" w:eastAsia="ko-KR"/>
        </w:rPr>
        <w:t xml:space="preserve"> CSS set, after cell switch </w:t>
      </w:r>
      <w:r>
        <w:rPr>
          <w:b/>
          <w:i/>
          <w:lang w:val="en-GB" w:eastAsia="ko-KR"/>
        </w:rPr>
        <w:t>down-select</w:t>
      </w:r>
      <w:r w:rsidRPr="0092026F">
        <w:rPr>
          <w:b/>
          <w:i/>
          <w:lang w:val="en-GB" w:eastAsia="ko-KR"/>
        </w:rPr>
        <w:t xml:space="preserve"> the following options for the TCI state</w:t>
      </w:r>
      <w:r>
        <w:rPr>
          <w:b/>
          <w:i/>
          <w:lang w:val="en-GB" w:eastAsia="ko-KR"/>
        </w:rPr>
        <w:t xml:space="preserve"> indication</w:t>
      </w:r>
      <w:r w:rsidRPr="0092026F">
        <w:rPr>
          <w:b/>
          <w:i/>
          <w:lang w:val="en-GB" w:eastAsia="ko-KR"/>
        </w:rPr>
        <w:t>:</w:t>
      </w:r>
    </w:p>
    <w:p w14:paraId="2C1EFC84" w14:textId="77777777" w:rsidR="00DF0060" w:rsidRPr="0092026F" w:rsidRDefault="00DF0060" w:rsidP="00DF0060">
      <w:pPr>
        <w:pStyle w:val="ListParagraph"/>
        <w:numPr>
          <w:ilvl w:val="0"/>
          <w:numId w:val="48"/>
        </w:numPr>
        <w:rPr>
          <w:b/>
          <w:i/>
          <w:lang w:val="en-GB" w:eastAsia="ko-KR"/>
        </w:rPr>
      </w:pPr>
      <w:r w:rsidRPr="0092026F">
        <w:rPr>
          <w:b/>
          <w:i/>
          <w:lang w:val="en-GB" w:eastAsia="ko-KR"/>
        </w:rPr>
        <w:t xml:space="preserve">The CORESETs associated with CSS set </w:t>
      </w:r>
      <w:r>
        <w:rPr>
          <w:b/>
          <w:i/>
          <w:lang w:val="en-GB" w:eastAsia="ko-KR"/>
        </w:rPr>
        <w:t>other than Type</w:t>
      </w:r>
      <w:r w:rsidRPr="0092026F">
        <w:rPr>
          <w:b/>
          <w:i/>
          <w:lang w:val="en-GB" w:eastAsia="ko-KR"/>
        </w:rPr>
        <w:t>3</w:t>
      </w:r>
      <w:r>
        <w:rPr>
          <w:b/>
          <w:i/>
          <w:lang w:val="en-GB" w:eastAsia="ko-KR"/>
        </w:rPr>
        <w:t>-PDCCH</w:t>
      </w:r>
      <w:r w:rsidRPr="0092026F">
        <w:rPr>
          <w:b/>
          <w:i/>
          <w:lang w:val="en-GB" w:eastAsia="ko-KR"/>
        </w:rPr>
        <w:t xml:space="preserve"> CSS set follo</w:t>
      </w:r>
      <w:r>
        <w:rPr>
          <w:b/>
          <w:i/>
          <w:lang w:val="en-GB" w:eastAsia="ko-KR"/>
        </w:rPr>
        <w:t>w the unified TCI state of the t</w:t>
      </w:r>
      <w:r w:rsidRPr="0092026F">
        <w:rPr>
          <w:b/>
          <w:i/>
          <w:lang w:val="en-GB" w:eastAsia="ko-KR"/>
        </w:rPr>
        <w:t>arget cell until configured a new TCI state.</w:t>
      </w:r>
    </w:p>
    <w:p w14:paraId="3BCA1644" w14:textId="77777777" w:rsidR="00DF0060" w:rsidRPr="0092026F" w:rsidRDefault="00DF0060" w:rsidP="00DF0060">
      <w:pPr>
        <w:pStyle w:val="ListParagraph"/>
        <w:numPr>
          <w:ilvl w:val="0"/>
          <w:numId w:val="48"/>
        </w:numPr>
        <w:rPr>
          <w:b/>
          <w:i/>
          <w:lang w:val="en-GB" w:eastAsia="ko-KR"/>
        </w:rPr>
      </w:pPr>
      <w:r w:rsidRPr="0092026F">
        <w:rPr>
          <w:b/>
          <w:i/>
          <w:lang w:val="en-GB" w:eastAsia="ko-KR"/>
        </w:rPr>
        <w:t>An additional TCI state is signalled in the cell switch command for the CORESETs associat</w:t>
      </w:r>
      <w:r>
        <w:rPr>
          <w:b/>
          <w:i/>
          <w:lang w:val="en-GB" w:eastAsia="ko-KR"/>
        </w:rPr>
        <w:t>ed with CSS set other than Type</w:t>
      </w:r>
      <w:r w:rsidRPr="0092026F">
        <w:rPr>
          <w:b/>
          <w:i/>
          <w:lang w:val="en-GB" w:eastAsia="ko-KR"/>
        </w:rPr>
        <w:t>3</w:t>
      </w:r>
      <w:r>
        <w:rPr>
          <w:b/>
          <w:i/>
          <w:lang w:val="en-GB" w:eastAsia="ko-KR"/>
        </w:rPr>
        <w:t>-PDCCH</w:t>
      </w:r>
      <w:r w:rsidRPr="0092026F">
        <w:rPr>
          <w:b/>
          <w:i/>
          <w:lang w:val="en-GB" w:eastAsia="ko-KR"/>
        </w:rPr>
        <w:t xml:space="preserve"> CSS set.</w:t>
      </w:r>
    </w:p>
    <w:p w14:paraId="4F7A436B" w14:textId="134E2550" w:rsidR="00DF0060" w:rsidRDefault="00DF0060" w:rsidP="00DF0060">
      <w:pPr>
        <w:rPr>
          <w:lang w:val="en-GB" w:eastAsia="ko-KR"/>
        </w:rPr>
      </w:pPr>
      <w:r w:rsidRPr="00F72DC3">
        <w:rPr>
          <w:b/>
          <w:i/>
          <w:lang w:val="en-GB" w:eastAsia="ko-KR"/>
        </w:rPr>
        <w:t xml:space="preserve">Proposal </w:t>
      </w:r>
      <w:r>
        <w:rPr>
          <w:b/>
          <w:i/>
          <w:lang w:val="en-GB" w:eastAsia="ko-KR"/>
        </w:rPr>
        <w:t>6</w:t>
      </w:r>
      <w:r w:rsidRPr="00F72DC3">
        <w:rPr>
          <w:b/>
          <w:i/>
          <w:lang w:val="en-GB" w:eastAsia="ko-KR"/>
        </w:rPr>
        <w:t>: For</w:t>
      </w:r>
      <w:r w:rsidRPr="00CE7EEA">
        <w:rPr>
          <w:b/>
          <w:i/>
          <w:lang w:val="en-GB" w:eastAsia="ko-KR"/>
        </w:rPr>
        <w:t xml:space="preserve"> beam indication for L1/L2 mobility</w:t>
      </w:r>
      <w:r>
        <w:rPr>
          <w:b/>
          <w:i/>
          <w:lang w:val="en-GB" w:eastAsia="ko-KR"/>
        </w:rPr>
        <w:t xml:space="preserve">, the </w:t>
      </w:r>
      <w:r w:rsidRPr="00F72DC3">
        <w:rPr>
          <w:b/>
          <w:i/>
          <w:lang w:val="en-GB" w:eastAsia="ko-KR"/>
        </w:rPr>
        <w:t>dl-OrJoint-TCIStateList</w:t>
      </w:r>
      <w:r>
        <w:rPr>
          <w:b/>
          <w:i/>
          <w:lang w:val="en-GB" w:eastAsia="ko-KR"/>
        </w:rPr>
        <w:t xml:space="preserve"> and </w:t>
      </w:r>
      <w:r w:rsidRPr="00F72DC3">
        <w:rPr>
          <w:b/>
          <w:i/>
          <w:lang w:val="en-GB" w:eastAsia="ko-KR"/>
        </w:rPr>
        <w:t>ul-TCI-StateList</w:t>
      </w:r>
      <w:r>
        <w:rPr>
          <w:b/>
          <w:i/>
          <w:lang w:val="en-GB" w:eastAsia="ko-KR"/>
        </w:rPr>
        <w:t xml:space="preserve"> are configured with TCI states having a source RS associated with the target cell.</w:t>
      </w:r>
    </w:p>
    <w:p w14:paraId="3D2D3517" w14:textId="77777777" w:rsidR="00DF0060" w:rsidRPr="00CE7EEA" w:rsidRDefault="00DF0060" w:rsidP="00DF0060">
      <w:pPr>
        <w:rPr>
          <w:b/>
          <w:i/>
          <w:lang w:val="en-GB" w:eastAsia="ko-KR"/>
        </w:rPr>
      </w:pPr>
      <w:r w:rsidRPr="00CE7EEA">
        <w:rPr>
          <w:b/>
          <w:i/>
          <w:lang w:val="en-GB" w:eastAsia="ko-KR"/>
        </w:rPr>
        <w:t xml:space="preserve">Proposal </w:t>
      </w:r>
      <w:r>
        <w:rPr>
          <w:b/>
          <w:i/>
          <w:lang w:val="en-GB" w:eastAsia="ko-KR"/>
        </w:rPr>
        <w:t>7</w:t>
      </w:r>
      <w:r w:rsidRPr="00CE7EEA">
        <w:rPr>
          <w:b/>
          <w:i/>
          <w:lang w:val="en-GB" w:eastAsia="ko-KR"/>
        </w:rPr>
        <w:t>: For beam indication for L1/L2 mobility, an indicated TCI state on the target serving cell can trigger</w:t>
      </w:r>
    </w:p>
    <w:p w14:paraId="0A5A86E7" w14:textId="77777777" w:rsidR="00DF0060" w:rsidRPr="00CE7EEA" w:rsidRDefault="00DF0060" w:rsidP="00DF0060">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4DF613B3" w14:textId="77777777" w:rsidR="00DF0060" w:rsidRPr="00CE7EEA" w:rsidRDefault="00DF0060" w:rsidP="00DF0060">
      <w:pPr>
        <w:pStyle w:val="ListParagraph"/>
        <w:numPr>
          <w:ilvl w:val="0"/>
          <w:numId w:val="25"/>
        </w:numPr>
        <w:rPr>
          <w:b/>
          <w:i/>
          <w:lang w:val="en-GB" w:eastAsia="ko-KR"/>
        </w:rPr>
      </w:pPr>
      <w:r w:rsidRPr="00CE7EEA">
        <w:rPr>
          <w:b/>
          <w:i/>
          <w:lang w:val="en-GB" w:eastAsia="ko-KR"/>
        </w:rPr>
        <w:t>AP-SRS resource to the target serving cell.</w:t>
      </w:r>
    </w:p>
    <w:p w14:paraId="7BAA0385" w14:textId="00844D3F" w:rsidR="00DF0060" w:rsidRPr="00F72DC3" w:rsidRDefault="00DF0060" w:rsidP="00DF0060">
      <w:pPr>
        <w:rPr>
          <w:lang w:val="en-GB" w:eastAsia="ko-KR"/>
        </w:rPr>
      </w:pPr>
      <w:r w:rsidRPr="00D01D94">
        <w:rPr>
          <w:b/>
          <w:i/>
          <w:lang w:val="en-GB"/>
        </w:rPr>
        <w:t xml:space="preserve">Proposal </w:t>
      </w:r>
      <w:r>
        <w:rPr>
          <w:b/>
          <w:i/>
          <w:lang w:val="en-GB"/>
        </w:rPr>
        <w:t>8</w:t>
      </w:r>
      <w:r w:rsidRPr="00D01D94">
        <w:rPr>
          <w:b/>
          <w:i/>
          <w:lang w:val="en-GB"/>
        </w:rPr>
        <w:t>:</w:t>
      </w:r>
      <w:r>
        <w:rPr>
          <w:lang w:val="en-GB"/>
        </w:rPr>
        <w:t xml:space="preserve"> </w:t>
      </w:r>
      <w:r>
        <w:rPr>
          <w:b/>
          <w:i/>
          <w:lang w:eastAsia="ko-KR"/>
        </w:rPr>
        <w:t>Rel-18 LTM and Rel-17 ICBM can operate together. A UE firs</w:t>
      </w:r>
      <w:bookmarkStart w:id="6" w:name="_GoBack"/>
      <w:bookmarkEnd w:id="6"/>
      <w:r>
        <w:rPr>
          <w:b/>
          <w:i/>
          <w:lang w:eastAsia="ko-KR"/>
        </w:rPr>
        <w:t>t uses a beam of the target cell, before switching to the target cell.</w:t>
      </w:r>
    </w:p>
    <w:p w14:paraId="3755FCA4" w14:textId="77777777" w:rsidR="00DF0060" w:rsidRPr="0054679B" w:rsidRDefault="00DF0060" w:rsidP="00DF0060">
      <w:pPr>
        <w:rPr>
          <w:b/>
          <w:i/>
          <w:lang w:val="en-GB" w:eastAsia="ko-KR"/>
        </w:rPr>
      </w:pPr>
      <w:r w:rsidRPr="0054679B">
        <w:rPr>
          <w:b/>
          <w:i/>
          <w:lang w:val="en-GB" w:eastAsia="ko-KR"/>
        </w:rPr>
        <w:t xml:space="preserve">Observation </w:t>
      </w:r>
      <w:r>
        <w:rPr>
          <w:b/>
          <w:i/>
          <w:lang w:val="en-GB" w:eastAsia="ko-KR"/>
        </w:rPr>
        <w:t>3</w:t>
      </w:r>
      <w:r w:rsidRPr="0054679B">
        <w:rPr>
          <w:b/>
          <w:i/>
          <w:lang w:val="en-GB" w:eastAsia="ko-KR"/>
        </w:rPr>
        <w:t xml:space="preserve">: Having </w:t>
      </w:r>
      <w:r>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0D7027E4" w14:textId="77777777" w:rsidR="00DF0060" w:rsidRDefault="00DF0060" w:rsidP="00DF0060">
      <w:pPr>
        <w:rPr>
          <w:b/>
          <w:i/>
          <w:lang w:eastAsia="ko-KR"/>
        </w:rPr>
      </w:pPr>
      <w:r w:rsidRPr="00D01D94">
        <w:rPr>
          <w:b/>
          <w:i/>
          <w:lang w:val="en-GB"/>
        </w:rPr>
        <w:t xml:space="preserve">Proposal </w:t>
      </w:r>
      <w:r>
        <w:rPr>
          <w:b/>
          <w:i/>
          <w:lang w:val="en-GB"/>
        </w:rPr>
        <w:t>9</w:t>
      </w:r>
      <w:r w:rsidRPr="004B1264">
        <w:rPr>
          <w:b/>
          <w:i/>
          <w:lang w:val="en-GB"/>
        </w:rPr>
        <w:t xml:space="preserve">: For </w:t>
      </w:r>
      <w:r w:rsidRPr="004B1264">
        <w:rPr>
          <w:b/>
          <w:i/>
          <w:lang w:eastAsia="ko-KR"/>
        </w:rPr>
        <w:t>Rel-18 LTM, in ad</w:t>
      </w:r>
      <w:r>
        <w:rPr>
          <w:b/>
          <w:i/>
          <w:lang w:eastAsia="ko-KR"/>
        </w:rPr>
        <w:t xml:space="preserve">dition to the </w:t>
      </w:r>
      <w:r w:rsidRPr="00E1159E">
        <w:rPr>
          <w:b/>
          <w:i/>
          <w:lang w:val="en-GB"/>
        </w:rPr>
        <w:t>beam</w:t>
      </w:r>
      <w:r>
        <w:rPr>
          <w:b/>
          <w:i/>
          <w:lang w:val="en-GB"/>
        </w:rPr>
        <w:t xml:space="preserve"> (TCI state ID)</w:t>
      </w:r>
      <w:r w:rsidRPr="00E1159E">
        <w:rPr>
          <w:b/>
          <w:i/>
          <w:lang w:val="en-GB"/>
        </w:rPr>
        <w:t xml:space="preserve"> </w:t>
      </w:r>
      <w:r>
        <w:rPr>
          <w:b/>
          <w:i/>
          <w:lang w:val="en-GB"/>
        </w:rPr>
        <w:t>being</w:t>
      </w:r>
      <w:r w:rsidRPr="00E1159E">
        <w:rPr>
          <w:b/>
          <w:i/>
          <w:lang w:val="en-GB"/>
        </w:rPr>
        <w:t xml:space="preserve"> indicated to the target cell with</w:t>
      </w:r>
      <w:r>
        <w:rPr>
          <w:b/>
          <w:i/>
          <w:lang w:val="en-GB"/>
        </w:rPr>
        <w:t>in</w:t>
      </w:r>
      <w:r w:rsidRPr="00E1159E">
        <w:rPr>
          <w:b/>
          <w:i/>
          <w:lang w:val="en-GB"/>
        </w:rPr>
        <w:t xml:space="preserve"> the cell switch command</w:t>
      </w:r>
      <w:r>
        <w:rPr>
          <w:b/>
          <w:i/>
          <w:lang w:val="en-GB"/>
        </w:rPr>
        <w:t>,</w:t>
      </w:r>
      <w:r>
        <w:rPr>
          <w:b/>
          <w:i/>
          <w:lang w:eastAsia="ko-KR"/>
        </w:rPr>
        <w:t xml:space="preserve"> support the following,</w:t>
      </w:r>
    </w:p>
    <w:p w14:paraId="22B72122" w14:textId="77777777" w:rsidR="00DF0060" w:rsidRPr="00451D28" w:rsidRDefault="00DF0060" w:rsidP="00DF0060">
      <w:pPr>
        <w:pStyle w:val="ListParagraph"/>
        <w:numPr>
          <w:ilvl w:val="0"/>
          <w:numId w:val="23"/>
        </w:numPr>
        <w:rPr>
          <w:b/>
          <w:i/>
          <w:lang w:val="en-GB"/>
        </w:rPr>
      </w:pPr>
      <w:r w:rsidRPr="00451D28">
        <w:rPr>
          <w:b/>
          <w:i/>
          <w:lang w:val="en-GB"/>
        </w:rPr>
        <w:t>The cell switch occurs at the time of indicating a TCI state associated with the target serving cell.</w:t>
      </w:r>
    </w:p>
    <w:p w14:paraId="667EDDE1" w14:textId="77777777" w:rsidR="00DF0060" w:rsidRPr="00E1159E" w:rsidRDefault="00DF0060" w:rsidP="00DF0060">
      <w:pPr>
        <w:pStyle w:val="ListParagraph"/>
        <w:numPr>
          <w:ilvl w:val="0"/>
          <w:numId w:val="23"/>
        </w:numPr>
        <w:rPr>
          <w:lang w:val="en-GB"/>
        </w:rPr>
      </w:pPr>
      <w:r w:rsidRPr="00E1159E">
        <w:rPr>
          <w:b/>
          <w:i/>
          <w:lang w:eastAsia="ko-KR"/>
        </w:rPr>
        <w:t>The beam is indicated first to target cell; this is then followed by the cell switch command.</w:t>
      </w:r>
    </w:p>
    <w:p w14:paraId="7A5087AB" w14:textId="77777777" w:rsidR="00DF0060" w:rsidRDefault="00DF0060"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0C14866E" w:rsidR="0028035C" w:rsidRPr="00F44D26" w:rsidRDefault="00CA53D9" w:rsidP="00CA53D9">
      <w:pPr>
        <w:pStyle w:val="ListParagraph"/>
        <w:numPr>
          <w:ilvl w:val="0"/>
          <w:numId w:val="16"/>
        </w:numPr>
        <w:spacing w:after="60" w:line="288" w:lineRule="auto"/>
        <w:jc w:val="both"/>
      </w:pPr>
      <w:bookmarkStart w:id="7" w:name="_Ref101557947"/>
      <w:bookmarkStart w:id="8" w:name="_Ref521501348"/>
      <w:bookmarkStart w:id="9" w:name="_Ref30756422"/>
      <w:bookmarkStart w:id="10"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7"/>
    </w:p>
    <w:p w14:paraId="0A75E3BC" w14:textId="0CC6D39C" w:rsidR="00F44D26" w:rsidRPr="003A421C" w:rsidRDefault="00F44D26" w:rsidP="00F44D26">
      <w:pPr>
        <w:pStyle w:val="ListParagraph"/>
        <w:numPr>
          <w:ilvl w:val="0"/>
          <w:numId w:val="16"/>
        </w:numPr>
        <w:spacing w:after="60" w:line="288" w:lineRule="auto"/>
        <w:jc w:val="both"/>
      </w:pPr>
      <w:bookmarkStart w:id="11" w:name="_Ref127427614"/>
      <w:r>
        <w:t>R4-2220733 (R1-2300031), “</w:t>
      </w:r>
      <w:r w:rsidRPr="00F44D26">
        <w:t>Reply LS on L1 intra- and inter- frequency measurement and configurations for L1/L2-based inter-cell mobility</w:t>
      </w:r>
      <w:r>
        <w:t>”, 3GPP RAN4, Toulouse, France, November, 2022.</w:t>
      </w:r>
      <w:bookmarkEnd w:id="11"/>
    </w:p>
    <w:bookmarkEnd w:id="8"/>
    <w:bookmarkEnd w:id="9"/>
    <w:p w14:paraId="7C73DB1C" w14:textId="77777777" w:rsidR="00391669" w:rsidRPr="00EE7300" w:rsidRDefault="00391669" w:rsidP="00391669">
      <w:pPr>
        <w:spacing w:after="60" w:line="288" w:lineRule="auto"/>
        <w:jc w:val="both"/>
      </w:pPr>
    </w:p>
    <w:bookmarkEnd w:id="10"/>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7C5AE" w14:textId="77777777" w:rsidR="00E21CFA" w:rsidRPr="00C47AD2" w:rsidRDefault="00E21CFA">
      <w:pPr>
        <w:rPr>
          <w:rFonts w:ascii="Arial" w:hAnsi="Arial"/>
          <w:sz w:val="12"/>
        </w:rPr>
      </w:pPr>
      <w:r>
        <w:separator/>
      </w:r>
    </w:p>
  </w:endnote>
  <w:endnote w:type="continuationSeparator" w:id="0">
    <w:p w14:paraId="5676B902" w14:textId="77777777" w:rsidR="00E21CFA" w:rsidRPr="00C47AD2" w:rsidRDefault="00E21CF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00000000"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032AD2" w:rsidRDefault="00032AD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7231854"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57A1">
      <w:rPr>
        <w:rStyle w:val="PageNumber"/>
      </w:rPr>
      <w:t>1</w:t>
    </w:r>
    <w:r>
      <w:rPr>
        <w:rStyle w:val="PageNumber"/>
      </w:rPr>
      <w:fldChar w:fldCharType="end"/>
    </w:r>
  </w:p>
  <w:p w14:paraId="627E69E3" w14:textId="77777777" w:rsidR="00032AD2" w:rsidRDefault="00032AD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4A876" w14:textId="77777777" w:rsidR="00E21CFA" w:rsidRPr="00C47AD2" w:rsidRDefault="00E21CFA">
      <w:pPr>
        <w:rPr>
          <w:rFonts w:ascii="Arial" w:hAnsi="Arial"/>
          <w:sz w:val="12"/>
        </w:rPr>
      </w:pPr>
      <w:r>
        <w:separator/>
      </w:r>
    </w:p>
  </w:footnote>
  <w:footnote w:type="continuationSeparator" w:id="0">
    <w:p w14:paraId="43A4F6C4" w14:textId="77777777" w:rsidR="00E21CFA" w:rsidRPr="00C47AD2" w:rsidRDefault="00E21CF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32AD2" w:rsidRDefault="00032AD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7F7A4C"/>
    <w:multiLevelType w:val="hybridMultilevel"/>
    <w:tmpl w:val="3B80EF7C"/>
    <w:lvl w:ilvl="0" w:tplc="7A04503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27838A4"/>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3BE2A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734419"/>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296305F2"/>
    <w:multiLevelType w:val="hybridMultilevel"/>
    <w:tmpl w:val="7DC0CAF0"/>
    <w:lvl w:ilvl="0" w:tplc="1AEC0E0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BE50E18"/>
    <w:multiLevelType w:val="hybridMultilevel"/>
    <w:tmpl w:val="49AE2152"/>
    <w:lvl w:ilvl="0" w:tplc="45A08922">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C46A77"/>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E7EB0"/>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4013C7"/>
    <w:multiLevelType w:val="hybridMultilevel"/>
    <w:tmpl w:val="39700042"/>
    <w:lvl w:ilvl="0" w:tplc="6B4E1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B63D2F"/>
    <w:multiLevelType w:val="hybridMultilevel"/>
    <w:tmpl w:val="0198895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0"/>
  </w:num>
  <w:num w:numId="6">
    <w:abstractNumId w:val="41"/>
  </w:num>
  <w:num w:numId="7">
    <w:abstractNumId w:val="21"/>
  </w:num>
  <w:num w:numId="8">
    <w:abstractNumId w:val="18"/>
  </w:num>
  <w:num w:numId="9">
    <w:abstractNumId w:val="38"/>
  </w:num>
  <w:num w:numId="10">
    <w:abstractNumId w:val="5"/>
  </w:num>
  <w:num w:numId="11">
    <w:abstractNumId w:val="8"/>
  </w:num>
  <w:num w:numId="12">
    <w:abstractNumId w:val="2"/>
  </w:num>
  <w:num w:numId="13">
    <w:abstractNumId w:val="39"/>
  </w:num>
  <w:num w:numId="14">
    <w:abstractNumId w:val="25"/>
  </w:num>
  <w:num w:numId="15">
    <w:abstractNumId w:val="28"/>
  </w:num>
  <w:num w:numId="16">
    <w:abstractNumId w:val="26"/>
  </w:num>
  <w:num w:numId="17">
    <w:abstractNumId w:val="42"/>
  </w:num>
  <w:num w:numId="18">
    <w:abstractNumId w:val="22"/>
  </w:num>
  <w:num w:numId="19">
    <w:abstractNumId w:val="4"/>
  </w:num>
  <w:num w:numId="20">
    <w:abstractNumId w:val="30"/>
  </w:num>
  <w:num w:numId="21">
    <w:abstractNumId w:val="32"/>
  </w:num>
  <w:num w:numId="22">
    <w:abstractNumId w:val="19"/>
  </w:num>
  <w:num w:numId="23">
    <w:abstractNumId w:val="3"/>
  </w:num>
  <w:num w:numId="24">
    <w:abstractNumId w:val="17"/>
  </w:num>
  <w:num w:numId="25">
    <w:abstractNumId w:val="12"/>
  </w:num>
  <w:num w:numId="26">
    <w:abstractNumId w:val="9"/>
  </w:num>
  <w:num w:numId="27">
    <w:abstractNumId w:val="34"/>
  </w:num>
  <w:num w:numId="28">
    <w:abstractNumId w:val="24"/>
  </w:num>
  <w:num w:numId="29">
    <w:abstractNumId w:val="33"/>
  </w:num>
  <w:num w:numId="30">
    <w:abstractNumId w:val="7"/>
  </w:num>
  <w:num w:numId="31">
    <w:abstractNumId w:val="11"/>
  </w:num>
  <w:num w:numId="32">
    <w:abstractNumId w:val="36"/>
  </w:num>
  <w:num w:numId="33">
    <w:abstractNumId w:val="40"/>
  </w:num>
  <w:num w:numId="34">
    <w:abstractNumId w:val="31"/>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6"/>
  </w:num>
  <w:num w:numId="42">
    <w:abstractNumId w:val="27"/>
  </w:num>
  <w:num w:numId="43">
    <w:abstractNumId w:val="10"/>
  </w:num>
  <w:num w:numId="44">
    <w:abstractNumId w:val="6"/>
  </w:num>
  <w:num w:numId="45">
    <w:abstractNumId w:val="29"/>
  </w:num>
  <w:num w:numId="46">
    <w:abstractNumId w:val="35"/>
  </w:num>
  <w:num w:numId="47">
    <w:abstractNumId w:val="15"/>
  </w:num>
  <w:num w:numId="4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A0"/>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AD2"/>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371"/>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77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075"/>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1EE8"/>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8B0"/>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35"/>
    <w:rsid w:val="000E4FA1"/>
    <w:rsid w:val="000E520F"/>
    <w:rsid w:val="000E5219"/>
    <w:rsid w:val="000E5391"/>
    <w:rsid w:val="000E543C"/>
    <w:rsid w:val="000E57B7"/>
    <w:rsid w:val="000E57E5"/>
    <w:rsid w:val="000E57FA"/>
    <w:rsid w:val="000E5C7E"/>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79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37"/>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9B1"/>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B82"/>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3B0"/>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81B"/>
    <w:rsid w:val="001C398E"/>
    <w:rsid w:val="001C3A43"/>
    <w:rsid w:val="001C3A4C"/>
    <w:rsid w:val="001C4222"/>
    <w:rsid w:val="001C4267"/>
    <w:rsid w:val="001C42B2"/>
    <w:rsid w:val="001C4723"/>
    <w:rsid w:val="001C519E"/>
    <w:rsid w:val="001C56C1"/>
    <w:rsid w:val="001C5ABD"/>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8DA"/>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75"/>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1F9F"/>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50A"/>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64A"/>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64C"/>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72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E95"/>
    <w:rsid w:val="00315F32"/>
    <w:rsid w:val="00316229"/>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BD"/>
    <w:rsid w:val="003B55D0"/>
    <w:rsid w:val="003B5E8E"/>
    <w:rsid w:val="003B60C3"/>
    <w:rsid w:val="003B614D"/>
    <w:rsid w:val="003B6886"/>
    <w:rsid w:val="003B6A29"/>
    <w:rsid w:val="003B6C15"/>
    <w:rsid w:val="003B7521"/>
    <w:rsid w:val="003B77EB"/>
    <w:rsid w:val="003B7AB3"/>
    <w:rsid w:val="003B7BDE"/>
    <w:rsid w:val="003B7DDB"/>
    <w:rsid w:val="003C070A"/>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DF3"/>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37F8B"/>
    <w:rsid w:val="004400DD"/>
    <w:rsid w:val="0044011B"/>
    <w:rsid w:val="00440AEF"/>
    <w:rsid w:val="00440BAB"/>
    <w:rsid w:val="00440C5B"/>
    <w:rsid w:val="00440FBF"/>
    <w:rsid w:val="00440FE9"/>
    <w:rsid w:val="004410B5"/>
    <w:rsid w:val="004410B6"/>
    <w:rsid w:val="004412F3"/>
    <w:rsid w:val="00441526"/>
    <w:rsid w:val="00441B42"/>
    <w:rsid w:val="00441FE1"/>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2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9"/>
    <w:rsid w:val="0048007C"/>
    <w:rsid w:val="0048019C"/>
    <w:rsid w:val="004803BD"/>
    <w:rsid w:val="00480982"/>
    <w:rsid w:val="00480D34"/>
    <w:rsid w:val="00480E66"/>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EC7"/>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264"/>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08E"/>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3C0D"/>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D25"/>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58A"/>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8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3DA"/>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11"/>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81"/>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97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45"/>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19E"/>
    <w:rsid w:val="006214F9"/>
    <w:rsid w:val="0062172C"/>
    <w:rsid w:val="00621AC5"/>
    <w:rsid w:val="00621CF0"/>
    <w:rsid w:val="00622042"/>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24E"/>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864"/>
    <w:rsid w:val="00646B18"/>
    <w:rsid w:val="00646D01"/>
    <w:rsid w:val="00646DC8"/>
    <w:rsid w:val="0064719F"/>
    <w:rsid w:val="00647506"/>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51A"/>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CC9"/>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0989"/>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5C1"/>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33B"/>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6F7CA2"/>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DD7"/>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995"/>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05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5F4"/>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38E"/>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863"/>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7F6"/>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3DF8"/>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5FDE"/>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0A4"/>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26F"/>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A41"/>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3FD3"/>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9EE"/>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4FED"/>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7E"/>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981"/>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055"/>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6C5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5CE"/>
    <w:rsid w:val="00A66057"/>
    <w:rsid w:val="00A6625E"/>
    <w:rsid w:val="00A662B8"/>
    <w:rsid w:val="00A66422"/>
    <w:rsid w:val="00A66518"/>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77E39"/>
    <w:rsid w:val="00A80035"/>
    <w:rsid w:val="00A806D9"/>
    <w:rsid w:val="00A80712"/>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52"/>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193"/>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859"/>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C0"/>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4B6"/>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A79"/>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3FD5"/>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C49"/>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A33"/>
    <w:rsid w:val="00BE4B3C"/>
    <w:rsid w:val="00BE4C20"/>
    <w:rsid w:val="00BE4DC7"/>
    <w:rsid w:val="00BE5833"/>
    <w:rsid w:val="00BE5E48"/>
    <w:rsid w:val="00BE5ED9"/>
    <w:rsid w:val="00BE5F77"/>
    <w:rsid w:val="00BE63D5"/>
    <w:rsid w:val="00BE6550"/>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7A1"/>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A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2B0"/>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2D82"/>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C5C"/>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E7EEA"/>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97D"/>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C99"/>
    <w:rsid w:val="00D54D85"/>
    <w:rsid w:val="00D550FF"/>
    <w:rsid w:val="00D553AD"/>
    <w:rsid w:val="00D557AB"/>
    <w:rsid w:val="00D55AD8"/>
    <w:rsid w:val="00D5607F"/>
    <w:rsid w:val="00D56220"/>
    <w:rsid w:val="00D56CE7"/>
    <w:rsid w:val="00D57417"/>
    <w:rsid w:val="00D577DF"/>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E9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AB5"/>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5C3"/>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060"/>
    <w:rsid w:val="00DF032E"/>
    <w:rsid w:val="00DF0489"/>
    <w:rsid w:val="00DF058D"/>
    <w:rsid w:val="00DF0675"/>
    <w:rsid w:val="00DF0A42"/>
    <w:rsid w:val="00DF0D75"/>
    <w:rsid w:val="00DF0F45"/>
    <w:rsid w:val="00DF110D"/>
    <w:rsid w:val="00DF12B6"/>
    <w:rsid w:val="00DF1300"/>
    <w:rsid w:val="00DF14BF"/>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1C0"/>
    <w:rsid w:val="00E07368"/>
    <w:rsid w:val="00E075B0"/>
    <w:rsid w:val="00E0767C"/>
    <w:rsid w:val="00E07BDC"/>
    <w:rsid w:val="00E07C9E"/>
    <w:rsid w:val="00E1070A"/>
    <w:rsid w:val="00E10923"/>
    <w:rsid w:val="00E10C3D"/>
    <w:rsid w:val="00E10D23"/>
    <w:rsid w:val="00E10D98"/>
    <w:rsid w:val="00E10E12"/>
    <w:rsid w:val="00E10EFF"/>
    <w:rsid w:val="00E1159E"/>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CFA"/>
    <w:rsid w:val="00E21D23"/>
    <w:rsid w:val="00E2212C"/>
    <w:rsid w:val="00E2224A"/>
    <w:rsid w:val="00E228BA"/>
    <w:rsid w:val="00E22AAE"/>
    <w:rsid w:val="00E22C7C"/>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BBC"/>
    <w:rsid w:val="00EA5C44"/>
    <w:rsid w:val="00EA662B"/>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2E65"/>
    <w:rsid w:val="00EB3109"/>
    <w:rsid w:val="00EB315C"/>
    <w:rsid w:val="00EB3317"/>
    <w:rsid w:val="00EB3484"/>
    <w:rsid w:val="00EB3575"/>
    <w:rsid w:val="00EB35D2"/>
    <w:rsid w:val="00EB3E89"/>
    <w:rsid w:val="00EB4316"/>
    <w:rsid w:val="00EB4516"/>
    <w:rsid w:val="00EB485C"/>
    <w:rsid w:val="00EB4963"/>
    <w:rsid w:val="00EB4BBC"/>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87"/>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48D"/>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99C"/>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358"/>
    <w:rsid w:val="00F4351B"/>
    <w:rsid w:val="00F435E7"/>
    <w:rsid w:val="00F43614"/>
    <w:rsid w:val="00F437CB"/>
    <w:rsid w:val="00F4451F"/>
    <w:rsid w:val="00F4482E"/>
    <w:rsid w:val="00F448B0"/>
    <w:rsid w:val="00F448DA"/>
    <w:rsid w:val="00F44BDA"/>
    <w:rsid w:val="00F44D26"/>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116"/>
    <w:rsid w:val="00F65539"/>
    <w:rsid w:val="00F65864"/>
    <w:rsid w:val="00F65A9C"/>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A1"/>
    <w:rsid w:val="00F714F6"/>
    <w:rsid w:val="00F717CA"/>
    <w:rsid w:val="00F71A2E"/>
    <w:rsid w:val="00F71BB2"/>
    <w:rsid w:val="00F71DDE"/>
    <w:rsid w:val="00F71E31"/>
    <w:rsid w:val="00F72413"/>
    <w:rsid w:val="00F724F5"/>
    <w:rsid w:val="00F7289D"/>
    <w:rsid w:val="00F72DC3"/>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2B2"/>
    <w:rsid w:val="00FB58CB"/>
    <w:rsid w:val="00FB5B76"/>
    <w:rsid w:val="00FB5BF9"/>
    <w:rsid w:val="00FB5E3E"/>
    <w:rsid w:val="00FB5FC4"/>
    <w:rsid w:val="00FB6004"/>
    <w:rsid w:val="00FB625E"/>
    <w:rsid w:val="00FB6268"/>
    <w:rsid w:val="00FB6644"/>
    <w:rsid w:val="00FB6D0E"/>
    <w:rsid w:val="00FB6EAF"/>
    <w:rsid w:val="00FB6FEB"/>
    <w:rsid w:val="00FB74C2"/>
    <w:rsid w:val="00FB770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89"/>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35"/>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qFormat/>
    <w:rsid w:val="00521527"/>
    <w:pPr>
      <w:numPr>
        <w:numId w:val="21"/>
      </w:numPr>
      <w:spacing w:before="60" w:after="0"/>
    </w:pPr>
    <w:rPr>
      <w:rFonts w:ascii="Arial" w:hAnsi="Arial"/>
      <w:b/>
      <w:szCs w:val="24"/>
      <w:lang w:val="en-GB" w:eastAsia="en-GB"/>
    </w:rPr>
  </w:style>
  <w:style w:type="character" w:customStyle="1" w:styleId="markedcontent">
    <w:name w:val="markedcontent"/>
    <w:basedOn w:val="DefaultParagraphFont"/>
    <w:rsid w:val="008D3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D7A8C4D2-2F95-4DA1-B2EC-5703D7306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1772</TotalTime>
  <Pages>8</Pages>
  <Words>2863</Words>
  <Characters>16321</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48</cp:revision>
  <cp:lastPrinted>2010-03-24T01:20:00Z</cp:lastPrinted>
  <dcterms:created xsi:type="dcterms:W3CDTF">2022-11-03T20:38:00Z</dcterms:created>
  <dcterms:modified xsi:type="dcterms:W3CDTF">2023-08-11T20:40:00Z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